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298BA4">
      <w:pPr>
        <w:spacing w:before="113" w:line="226" w:lineRule="auto"/>
        <w:ind w:left="0" w:leftChars="0" w:firstLine="0" w:firstLineChars="0"/>
        <w:jc w:val="center"/>
        <w:rPr>
          <w:spacing w:val="-5"/>
        </w:rPr>
      </w:pPr>
      <w:r>
        <w:rPr>
          <w:rFonts w:hint="eastAsia" w:ascii="黑体" w:hAnsi="黑体" w:eastAsia="黑体" w:cs="黑体"/>
          <w:spacing w:val="7"/>
          <w:sz w:val="35"/>
          <w:szCs w:val="35"/>
          <w:lang w:val="en-US" w:eastAsia="zh-CN"/>
        </w:rPr>
        <w:t>商</w:t>
      </w:r>
      <w:r>
        <w:rPr>
          <w:rFonts w:ascii="黑体" w:hAnsi="黑体" w:eastAsia="黑体" w:cs="黑体"/>
          <w:spacing w:val="7"/>
          <w:sz w:val="35"/>
          <w:szCs w:val="35"/>
        </w:rPr>
        <w:t>学院</w:t>
      </w:r>
      <w:r>
        <w:rPr>
          <w:rFonts w:ascii="黑体" w:hAnsi="黑体" w:eastAsia="黑体" w:cs="黑体"/>
          <w:spacing w:val="6"/>
          <w:sz w:val="35"/>
          <w:szCs w:val="35"/>
        </w:rPr>
        <w:t>2024级新生转专业工作实施</w:t>
      </w:r>
      <w:r>
        <w:rPr>
          <w:rFonts w:hint="eastAsia" w:ascii="黑体" w:hAnsi="黑体" w:eastAsia="黑体" w:cs="黑体"/>
          <w:spacing w:val="6"/>
          <w:sz w:val="35"/>
          <w:szCs w:val="35"/>
          <w:lang w:val="en-US" w:eastAsia="zh-CN"/>
        </w:rPr>
        <w:t>方案</w:t>
      </w:r>
    </w:p>
    <w:p w14:paraId="4646D46A">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ind w:firstLine="580" w:firstLineChars="200"/>
        <w:jc w:val="both"/>
        <w:textAlignment w:val="baseline"/>
      </w:pPr>
      <w:r>
        <w:rPr>
          <w:spacing w:val="-5"/>
        </w:rPr>
        <w:t>根据</w:t>
      </w:r>
      <w:r>
        <w:rPr>
          <w:rFonts w:hint="eastAsia"/>
          <w:spacing w:val="-5"/>
          <w:lang w:val="en-US" w:eastAsia="zh-CN"/>
        </w:rPr>
        <w:t>国家</w:t>
      </w:r>
      <w:r>
        <w:rPr>
          <w:spacing w:val="-5"/>
        </w:rPr>
        <w:t>教育部《普通高等学校学生管理规定（教育部令第41号）</w:t>
      </w:r>
      <w:r>
        <w:rPr>
          <w:spacing w:val="-6"/>
        </w:rPr>
        <w:t>文件</w:t>
      </w:r>
      <w:r>
        <w:rPr>
          <w:spacing w:val="-5"/>
        </w:rPr>
        <w:t>精神，以及学校《</w:t>
      </w:r>
      <w:r>
        <w:rPr>
          <w:rFonts w:hint="eastAsia"/>
          <w:spacing w:val="-5"/>
          <w:lang w:val="en-US" w:eastAsia="zh-CN"/>
        </w:rPr>
        <w:t>河南信息统计</w:t>
      </w:r>
      <w:r>
        <w:rPr>
          <w:spacing w:val="-5"/>
        </w:rPr>
        <w:t>职业学院学生</w:t>
      </w:r>
      <w:r>
        <w:rPr>
          <w:rFonts w:hint="eastAsia"/>
          <w:spacing w:val="-5"/>
          <w:lang w:val="en-US" w:eastAsia="zh-CN"/>
        </w:rPr>
        <w:t>转专业</w:t>
      </w:r>
      <w:r>
        <w:rPr>
          <w:spacing w:val="-5"/>
        </w:rPr>
        <w:t>管理</w:t>
      </w:r>
      <w:r>
        <w:rPr>
          <w:rFonts w:hint="eastAsia"/>
          <w:spacing w:val="-5"/>
          <w:lang w:val="en-US" w:eastAsia="zh-CN"/>
        </w:rPr>
        <w:t>办法</w:t>
      </w:r>
      <w:r>
        <w:rPr>
          <w:spacing w:val="-5"/>
        </w:rPr>
        <w:t>》等文件要求，充分考虑学生职业生涯意愿和</w:t>
      </w:r>
      <w:r>
        <w:rPr>
          <w:rFonts w:hint="eastAsia"/>
          <w:spacing w:val="-5"/>
          <w:lang w:val="en-US" w:eastAsia="zh-CN"/>
        </w:rPr>
        <w:t>商</w:t>
      </w:r>
      <w:r>
        <w:rPr>
          <w:spacing w:val="-5"/>
        </w:rPr>
        <w:t>学院的师资、实训等教学条件，坚持公平</w:t>
      </w:r>
      <w:r>
        <w:rPr>
          <w:rFonts w:hint="eastAsia"/>
          <w:spacing w:val="-5"/>
          <w:lang w:eastAsia="zh-CN"/>
        </w:rPr>
        <w:t>、</w:t>
      </w:r>
      <w:r>
        <w:rPr>
          <w:spacing w:val="-5"/>
        </w:rPr>
        <w:t>公正</w:t>
      </w:r>
      <w:r>
        <w:rPr>
          <w:rFonts w:hint="eastAsia"/>
          <w:spacing w:val="-5"/>
          <w:lang w:eastAsia="zh-CN"/>
        </w:rPr>
        <w:t>、</w:t>
      </w:r>
      <w:r>
        <w:rPr>
          <w:spacing w:val="-5"/>
        </w:rPr>
        <w:t>公开原则制定</w:t>
      </w:r>
      <w:r>
        <w:rPr>
          <w:rFonts w:hint="eastAsia"/>
          <w:spacing w:val="-5"/>
          <w:lang w:val="en-US" w:eastAsia="zh-CN"/>
        </w:rPr>
        <w:t>商</w:t>
      </w:r>
      <w:r>
        <w:rPr>
          <w:spacing w:val="1"/>
        </w:rPr>
        <w:t>学院2024级新生转专业工作实施</w:t>
      </w:r>
      <w:r>
        <w:rPr>
          <w:rFonts w:hint="eastAsia"/>
          <w:spacing w:val="1"/>
          <w:lang w:val="en-US" w:eastAsia="zh-CN"/>
        </w:rPr>
        <w:t>方案</w:t>
      </w:r>
      <w:r>
        <w:rPr>
          <w:spacing w:val="1"/>
        </w:rPr>
        <w:t>。</w:t>
      </w:r>
    </w:p>
    <w:p w14:paraId="27FB6228">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ind w:firstLine="580" w:firstLineChars="200"/>
        <w:jc w:val="both"/>
        <w:textAlignment w:val="baseline"/>
        <w:rPr>
          <w:spacing w:val="-5"/>
        </w:rPr>
      </w:pPr>
      <w:r>
        <w:rPr>
          <w:rFonts w:hint="eastAsia" w:ascii="黑体" w:hAnsi="黑体" w:eastAsia="黑体" w:cs="黑体"/>
          <w:spacing w:val="-5"/>
        </w:rPr>
        <w:t>一、转专业工作领导小组</w:t>
      </w:r>
      <w:r>
        <w:rPr>
          <w:spacing w:val="-5"/>
        </w:rPr>
        <w:t xml:space="preserve"> </w:t>
      </w:r>
    </w:p>
    <w:p w14:paraId="20FECFD4">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ind w:firstLine="580" w:firstLineChars="200"/>
        <w:jc w:val="both"/>
        <w:textAlignment w:val="baseline"/>
        <w:rPr>
          <w:rFonts w:hint="default"/>
          <w:spacing w:val="-5"/>
          <w:lang w:val="en-US" w:eastAsia="zh-CN"/>
        </w:rPr>
      </w:pPr>
      <w:r>
        <w:rPr>
          <w:spacing w:val="-5"/>
        </w:rPr>
        <w:t>组  长：</w:t>
      </w:r>
      <w:r>
        <w:rPr>
          <w:rFonts w:hint="eastAsia"/>
          <w:spacing w:val="-5"/>
          <w:lang w:val="en-US" w:eastAsia="zh-CN"/>
        </w:rPr>
        <w:t>蔡鹏  宋民冬</w:t>
      </w:r>
    </w:p>
    <w:p w14:paraId="2E7AF727">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ind w:firstLine="580" w:firstLineChars="200"/>
        <w:jc w:val="both"/>
        <w:textAlignment w:val="baseline"/>
        <w:rPr>
          <w:rFonts w:hint="eastAsia" w:eastAsia="仿宋"/>
          <w:spacing w:val="-5"/>
          <w:lang w:val="en-US" w:eastAsia="zh-CN"/>
        </w:rPr>
      </w:pPr>
      <w:r>
        <w:rPr>
          <w:spacing w:val="-5"/>
        </w:rPr>
        <w:t>副组长：</w:t>
      </w:r>
      <w:r>
        <w:rPr>
          <w:rFonts w:hint="eastAsia"/>
          <w:spacing w:val="-5"/>
          <w:lang w:val="en-US" w:eastAsia="zh-CN"/>
        </w:rPr>
        <w:t>许丹桂</w:t>
      </w:r>
    </w:p>
    <w:p w14:paraId="2E27EA6C">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ind w:firstLine="580" w:firstLineChars="200"/>
        <w:jc w:val="both"/>
        <w:textAlignment w:val="baseline"/>
        <w:rPr>
          <w:rFonts w:hint="default"/>
          <w:spacing w:val="-5"/>
          <w:lang w:val="en-US" w:eastAsia="zh-CN"/>
        </w:rPr>
      </w:pPr>
      <w:r>
        <w:rPr>
          <w:spacing w:val="-5"/>
        </w:rPr>
        <w:t>成  员：</w:t>
      </w:r>
      <w:r>
        <w:rPr>
          <w:rFonts w:hint="eastAsia"/>
          <w:spacing w:val="-5"/>
          <w:lang w:val="en-US" w:eastAsia="zh-CN"/>
        </w:rPr>
        <w:t>朱琳  黄硕  2024级辅导员</w:t>
      </w:r>
    </w:p>
    <w:p w14:paraId="75126A92">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ind w:firstLine="580" w:firstLineChars="200"/>
        <w:jc w:val="both"/>
        <w:textAlignment w:val="baseline"/>
        <w:rPr>
          <w:rFonts w:hint="eastAsia" w:ascii="黑体" w:hAnsi="黑体" w:eastAsia="黑体" w:cs="黑体"/>
          <w:spacing w:val="-5"/>
          <w:lang w:val="en-US" w:eastAsia="zh-CN"/>
        </w:rPr>
      </w:pPr>
      <w:r>
        <w:rPr>
          <w:rFonts w:hint="eastAsia" w:ascii="黑体" w:hAnsi="黑体" w:eastAsia="黑体" w:cs="黑体"/>
          <w:spacing w:val="-5"/>
        </w:rPr>
        <w:t>二、转专业</w:t>
      </w:r>
      <w:r>
        <w:rPr>
          <w:rFonts w:hint="eastAsia" w:ascii="黑体" w:hAnsi="黑体" w:eastAsia="黑体" w:cs="黑体"/>
          <w:spacing w:val="-5"/>
          <w:lang w:val="en-US" w:eastAsia="zh-CN"/>
        </w:rPr>
        <w:t>实施办法</w:t>
      </w:r>
    </w:p>
    <w:p w14:paraId="4A1227F5">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ind w:firstLine="580" w:firstLineChars="200"/>
        <w:jc w:val="both"/>
        <w:textAlignment w:val="baseline"/>
        <w:rPr>
          <w:rFonts w:hint="eastAsia"/>
          <w:spacing w:val="-5"/>
          <w:lang w:val="en-US" w:eastAsia="zh-CN"/>
        </w:rPr>
      </w:pPr>
      <w:r>
        <w:rPr>
          <w:rFonts w:hint="eastAsia"/>
          <w:spacing w:val="-5"/>
          <w:lang w:val="en-US" w:eastAsia="zh-CN"/>
        </w:rPr>
        <w:t>商学院转入和转出按照学校</w:t>
      </w:r>
      <w:r>
        <w:rPr>
          <w:spacing w:val="-5"/>
        </w:rPr>
        <w:t>《</w:t>
      </w:r>
      <w:r>
        <w:rPr>
          <w:rFonts w:hint="eastAsia"/>
          <w:spacing w:val="-5"/>
          <w:lang w:val="en-US" w:eastAsia="zh-CN"/>
        </w:rPr>
        <w:t>河南信息统计</w:t>
      </w:r>
      <w:r>
        <w:rPr>
          <w:spacing w:val="-5"/>
        </w:rPr>
        <w:t>职业学院学生</w:t>
      </w:r>
      <w:r>
        <w:rPr>
          <w:rFonts w:hint="eastAsia"/>
          <w:spacing w:val="-5"/>
          <w:lang w:val="en-US" w:eastAsia="zh-CN"/>
        </w:rPr>
        <w:t>转专业</w:t>
      </w:r>
      <w:r>
        <w:rPr>
          <w:spacing w:val="-5"/>
        </w:rPr>
        <w:t>管理</w:t>
      </w:r>
      <w:r>
        <w:rPr>
          <w:rFonts w:hint="eastAsia"/>
          <w:spacing w:val="-5"/>
          <w:lang w:val="en-US" w:eastAsia="zh-CN"/>
        </w:rPr>
        <w:t>办法</w:t>
      </w:r>
      <w:r>
        <w:rPr>
          <w:spacing w:val="-5"/>
        </w:rPr>
        <w:t>》</w:t>
      </w:r>
      <w:r>
        <w:rPr>
          <w:rFonts w:hint="eastAsia"/>
          <w:spacing w:val="-5"/>
          <w:lang w:val="en-US" w:eastAsia="zh-CN"/>
        </w:rPr>
        <w:t>及《河南信息统计职业学院关于2024及新生转专业工作的通知》（豫统院[2024]221号）执行。</w:t>
      </w:r>
    </w:p>
    <w:p w14:paraId="502FC78C">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ind w:firstLine="580" w:firstLineChars="200"/>
        <w:jc w:val="both"/>
        <w:textAlignment w:val="baseline"/>
        <w:rPr>
          <w:rFonts w:hint="eastAsia"/>
          <w:b/>
          <w:bCs/>
          <w:spacing w:val="-5"/>
          <w:lang w:val="en-US" w:eastAsia="zh-CN"/>
        </w:rPr>
      </w:pPr>
      <w:r>
        <w:rPr>
          <w:rFonts w:hint="eastAsia"/>
          <w:b/>
          <w:bCs/>
          <w:spacing w:val="-5"/>
          <w:lang w:eastAsia="zh-CN"/>
        </w:rPr>
        <w:t>（</w:t>
      </w:r>
      <w:r>
        <w:rPr>
          <w:rFonts w:hint="eastAsia"/>
          <w:b/>
          <w:bCs/>
          <w:spacing w:val="-5"/>
          <w:lang w:val="en-US" w:eastAsia="zh-CN"/>
        </w:rPr>
        <w:t>一</w:t>
      </w:r>
      <w:r>
        <w:rPr>
          <w:rFonts w:hint="eastAsia"/>
          <w:b/>
          <w:bCs/>
          <w:spacing w:val="-5"/>
          <w:lang w:eastAsia="zh-CN"/>
        </w:rPr>
        <w:t>）</w:t>
      </w:r>
      <w:r>
        <w:rPr>
          <w:rFonts w:hint="eastAsia"/>
          <w:b/>
          <w:bCs/>
          <w:spacing w:val="-5"/>
          <w:lang w:val="en-US" w:eastAsia="zh-CN"/>
        </w:rPr>
        <w:t>转入要求</w:t>
      </w:r>
    </w:p>
    <w:p w14:paraId="51DD29BC">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ind w:firstLine="580" w:firstLineChars="200"/>
        <w:jc w:val="both"/>
        <w:textAlignment w:val="baseline"/>
        <w:rPr>
          <w:rFonts w:hint="default"/>
          <w:spacing w:val="-5"/>
          <w:lang w:val="en-US" w:eastAsia="zh-CN"/>
        </w:rPr>
      </w:pPr>
      <w:r>
        <w:rPr>
          <w:spacing w:val="-5"/>
          <w:lang w:val="en-US" w:eastAsia="zh-CN"/>
        </w:rPr>
        <w:t>凡符合学校转专业政策规定的学生均可在规定时间内</w:t>
      </w:r>
      <w:r>
        <w:rPr>
          <w:rFonts w:hint="eastAsia"/>
          <w:spacing w:val="-5"/>
          <w:lang w:val="en-US" w:eastAsia="zh-CN"/>
        </w:rPr>
        <w:t>进行转专业申请，商学院转专业工作领导小组依据下列条件确定接收此类学生转入我院：</w:t>
      </w:r>
    </w:p>
    <w:p w14:paraId="161BEA9D">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ind w:firstLine="580" w:firstLineChars="200"/>
        <w:jc w:val="both"/>
        <w:textAlignment w:val="baseline"/>
        <w:rPr>
          <w:spacing w:val="-5"/>
          <w:lang w:val="en-US" w:eastAsia="en-US"/>
        </w:rPr>
      </w:pPr>
      <w:r>
        <w:rPr>
          <w:rFonts w:hint="eastAsia"/>
          <w:spacing w:val="-5"/>
          <w:lang w:val="en-US" w:eastAsia="zh-CN"/>
        </w:rPr>
        <w:t>1.</w:t>
      </w:r>
      <w:r>
        <w:rPr>
          <w:spacing w:val="-5"/>
          <w:lang w:val="en-US" w:eastAsia="en-US"/>
        </w:rPr>
        <w:t>身体健康，</w:t>
      </w:r>
      <w:r>
        <w:rPr>
          <w:rFonts w:hint="eastAsia"/>
          <w:spacing w:val="-5"/>
          <w:lang w:val="en-US" w:eastAsia="zh-CN"/>
        </w:rPr>
        <w:t>无不良嗜好，</w:t>
      </w:r>
      <w:r>
        <w:rPr>
          <w:spacing w:val="-5"/>
          <w:lang w:val="en-US" w:eastAsia="en-US"/>
        </w:rPr>
        <w:t>有正确的人生观和价值观；</w:t>
      </w:r>
    </w:p>
    <w:p w14:paraId="4544CBAF">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ind w:firstLine="580" w:firstLineChars="200"/>
        <w:jc w:val="both"/>
        <w:textAlignment w:val="baseline"/>
        <w:rPr>
          <w:spacing w:val="-5"/>
          <w:lang w:val="en-US" w:eastAsia="en-US"/>
        </w:rPr>
      </w:pPr>
      <w:r>
        <w:rPr>
          <w:rFonts w:hint="eastAsia"/>
          <w:spacing w:val="-5"/>
          <w:lang w:val="en-US" w:eastAsia="zh-CN"/>
        </w:rPr>
        <w:t>2.</w:t>
      </w:r>
      <w:r>
        <w:rPr>
          <w:spacing w:val="-5"/>
          <w:lang w:val="en-US" w:eastAsia="en-US"/>
        </w:rPr>
        <w:t>热爱财经商贸类专业，对财</w:t>
      </w:r>
      <w:r>
        <w:rPr>
          <w:rFonts w:hint="eastAsia"/>
          <w:spacing w:val="-5"/>
          <w:lang w:val="en-US" w:eastAsia="zh-CN"/>
        </w:rPr>
        <w:t>经</w:t>
      </w:r>
      <w:r>
        <w:rPr>
          <w:spacing w:val="-5"/>
          <w:lang w:val="en-US" w:eastAsia="en-US"/>
        </w:rPr>
        <w:t>行业及大数据有基本认知，</w:t>
      </w:r>
      <w:r>
        <w:rPr>
          <w:rFonts w:hint="eastAsia"/>
          <w:spacing w:val="-5"/>
          <w:lang w:val="en-US" w:eastAsia="zh-CN"/>
        </w:rPr>
        <w:t>具有一定基本素养和培养潜质</w:t>
      </w:r>
      <w:r>
        <w:rPr>
          <w:spacing w:val="-5"/>
          <w:lang w:val="en-US" w:eastAsia="en-US"/>
        </w:rPr>
        <w:t>；</w:t>
      </w:r>
    </w:p>
    <w:p w14:paraId="50C4C47B">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ind w:firstLine="580" w:firstLineChars="200"/>
        <w:jc w:val="both"/>
        <w:textAlignment w:val="baseline"/>
        <w:rPr>
          <w:spacing w:val="-5"/>
          <w:lang w:val="en-US" w:eastAsia="en-US"/>
        </w:rPr>
      </w:pPr>
      <w:r>
        <w:rPr>
          <w:rFonts w:hint="eastAsia"/>
          <w:spacing w:val="-5"/>
          <w:lang w:val="en-US" w:eastAsia="zh-CN"/>
        </w:rPr>
        <w:t>3.对口招生录取的学生</w:t>
      </w:r>
      <w:r>
        <w:rPr>
          <w:spacing w:val="-5"/>
          <w:lang w:val="en-US" w:eastAsia="en-US"/>
        </w:rPr>
        <w:t>、</w:t>
      </w:r>
      <w:r>
        <w:rPr>
          <w:rFonts w:hint="eastAsia"/>
          <w:spacing w:val="-5"/>
          <w:lang w:val="en-US" w:eastAsia="zh-CN"/>
        </w:rPr>
        <w:t>3+2升</w:t>
      </w:r>
      <w:r>
        <w:rPr>
          <w:spacing w:val="-5"/>
          <w:lang w:val="en-US" w:eastAsia="en-US"/>
        </w:rPr>
        <w:t>段</w:t>
      </w:r>
      <w:r>
        <w:rPr>
          <w:rFonts w:hint="eastAsia"/>
          <w:spacing w:val="-5"/>
          <w:lang w:val="en-US" w:eastAsia="zh-CN"/>
        </w:rPr>
        <w:t>的</w:t>
      </w:r>
      <w:r>
        <w:rPr>
          <w:spacing w:val="-5"/>
          <w:lang w:val="en-US" w:eastAsia="en-US"/>
        </w:rPr>
        <w:t>学生暂不接收；</w:t>
      </w:r>
    </w:p>
    <w:p w14:paraId="5DEDB666">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ind w:firstLine="580" w:firstLineChars="200"/>
        <w:jc w:val="both"/>
        <w:textAlignment w:val="baseline"/>
        <w:rPr>
          <w:spacing w:val="-5"/>
          <w:lang w:val="en-US" w:eastAsia="en-US"/>
        </w:rPr>
      </w:pPr>
      <w:r>
        <w:rPr>
          <w:rFonts w:hint="eastAsia"/>
          <w:spacing w:val="-5"/>
          <w:lang w:val="en-US" w:eastAsia="zh-CN"/>
        </w:rPr>
        <w:t>4.</w:t>
      </w:r>
      <w:r>
        <w:rPr>
          <w:spacing w:val="-5"/>
          <w:lang w:val="en-US" w:eastAsia="en-US"/>
        </w:rPr>
        <w:t>艺术类</w:t>
      </w:r>
      <w:r>
        <w:rPr>
          <w:rFonts w:hint="eastAsia"/>
          <w:spacing w:val="-5"/>
          <w:lang w:val="en-US" w:eastAsia="zh-CN"/>
        </w:rPr>
        <w:t>、体育类</w:t>
      </w:r>
      <w:r>
        <w:rPr>
          <w:spacing w:val="-5"/>
          <w:lang w:val="en-US" w:eastAsia="en-US"/>
        </w:rPr>
        <w:t>专业学生暂不接收；</w:t>
      </w:r>
    </w:p>
    <w:p w14:paraId="0F0EB4CC">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ind w:firstLine="580" w:firstLineChars="200"/>
        <w:jc w:val="both"/>
        <w:textAlignment w:val="baseline"/>
        <w:rPr>
          <w:rFonts w:hint="default"/>
          <w:spacing w:val="-5"/>
          <w:lang w:val="en-US" w:eastAsia="zh-CN"/>
        </w:rPr>
      </w:pPr>
      <w:r>
        <w:rPr>
          <w:rFonts w:hint="eastAsia"/>
          <w:spacing w:val="-5"/>
          <w:lang w:val="en-US" w:eastAsia="zh-CN"/>
        </w:rPr>
        <w:t>5.</w:t>
      </w:r>
      <w:r>
        <w:rPr>
          <w:spacing w:val="-5"/>
          <w:lang w:val="en-US" w:eastAsia="zh-CN"/>
        </w:rPr>
        <w:t>学生转入</w:t>
      </w:r>
      <w:r>
        <w:rPr>
          <w:rFonts w:hint="eastAsia"/>
          <w:spacing w:val="-5"/>
          <w:lang w:val="en-US" w:eastAsia="zh-CN"/>
        </w:rPr>
        <w:t>商</w:t>
      </w:r>
      <w:r>
        <w:rPr>
          <w:spacing w:val="-5"/>
          <w:lang w:val="en-US" w:eastAsia="zh-CN"/>
        </w:rPr>
        <w:t>学院后，应严格执行学院专业的人才培养</w:t>
      </w:r>
      <w:r>
        <w:rPr>
          <w:rFonts w:hint="eastAsia"/>
          <w:spacing w:val="-5"/>
          <w:lang w:val="en-US" w:eastAsia="zh-CN"/>
        </w:rPr>
        <w:t>方案，完成相应课程专业学习。</w:t>
      </w:r>
    </w:p>
    <w:p w14:paraId="0C653585">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ind w:firstLine="580" w:firstLineChars="200"/>
        <w:jc w:val="both"/>
        <w:textAlignment w:val="baseline"/>
        <w:rPr>
          <w:rFonts w:hint="eastAsia"/>
          <w:spacing w:val="-5"/>
          <w:lang w:val="en-US" w:eastAsia="zh-CN"/>
        </w:rPr>
      </w:pPr>
      <w:r>
        <w:rPr>
          <w:rFonts w:hint="eastAsia"/>
          <w:spacing w:val="-5"/>
          <w:lang w:val="en-US" w:eastAsia="zh-CN"/>
        </w:rPr>
        <w:t>6.</w:t>
      </w:r>
      <w:r>
        <w:rPr>
          <w:spacing w:val="-5"/>
          <w:lang w:val="en-US" w:eastAsia="zh-CN"/>
        </w:rPr>
        <w:t>学生</w:t>
      </w:r>
      <w:r>
        <w:rPr>
          <w:rFonts w:hint="eastAsia"/>
          <w:spacing w:val="-5"/>
          <w:lang w:val="en-US" w:eastAsia="zh-CN"/>
        </w:rPr>
        <w:t>须参加商</w:t>
      </w:r>
      <w:r>
        <w:rPr>
          <w:spacing w:val="-5"/>
          <w:lang w:val="en-US" w:eastAsia="zh-CN"/>
        </w:rPr>
        <w:t>学</w:t>
      </w:r>
      <w:r>
        <w:rPr>
          <w:rFonts w:hint="eastAsia"/>
          <w:spacing w:val="-5"/>
          <w:lang w:val="en-US" w:eastAsia="zh-CN"/>
        </w:rPr>
        <w:t>院组织的成绩测试，按照成绩由高到低择优</w:t>
      </w:r>
      <w:r>
        <w:rPr>
          <w:spacing w:val="-5"/>
          <w:lang w:val="en-US" w:eastAsia="zh-CN"/>
        </w:rPr>
        <w:t>转入</w:t>
      </w:r>
      <w:r>
        <w:rPr>
          <w:rFonts w:hint="eastAsia"/>
          <w:spacing w:val="-5"/>
          <w:lang w:val="en-US" w:eastAsia="zh-CN"/>
        </w:rPr>
        <w:t>。各专业拟录取名额如下：</w:t>
      </w:r>
    </w:p>
    <w:p w14:paraId="13A24EBA">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ind w:firstLine="580" w:firstLineChars="200"/>
        <w:jc w:val="both"/>
        <w:textAlignment w:val="baseline"/>
        <w:rPr>
          <w:rFonts w:hint="eastAsia"/>
          <w:spacing w:val="-5"/>
          <w:lang w:val="en-US" w:eastAsia="zh-CN"/>
        </w:rPr>
      </w:pPr>
      <w:r>
        <w:rPr>
          <w:rFonts w:hint="eastAsia"/>
          <w:spacing w:val="-5"/>
          <w:lang w:val="en-US" w:eastAsia="zh-CN"/>
        </w:rPr>
        <w:t>电子商务：</w:t>
      </w:r>
      <w:r>
        <w:rPr>
          <w:rFonts w:hint="eastAsia"/>
          <w:spacing w:val="-5"/>
          <w:lang w:val="en-US" w:eastAsia="zh"/>
          <w:woUserID w:val="1"/>
        </w:rPr>
        <w:t>2</w:t>
      </w:r>
      <w:r>
        <w:rPr>
          <w:rFonts w:hint="eastAsia"/>
          <w:spacing w:val="-5"/>
          <w:lang w:val="en-US" w:eastAsia="zh-CN"/>
        </w:rPr>
        <w:t>人</w:t>
      </w:r>
    </w:p>
    <w:p w14:paraId="0E32C7DF">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ind w:firstLine="580" w:firstLineChars="200"/>
        <w:jc w:val="both"/>
        <w:textAlignment w:val="baseline"/>
        <w:rPr>
          <w:rFonts w:hint="eastAsia"/>
          <w:spacing w:val="-5"/>
          <w:lang w:val="en-US" w:eastAsia="zh-CN"/>
        </w:rPr>
      </w:pPr>
      <w:r>
        <w:rPr>
          <w:rFonts w:hint="eastAsia"/>
          <w:spacing w:val="-5"/>
          <w:lang w:val="en-US" w:eastAsia="zh-CN"/>
        </w:rPr>
        <w:t>网络营销与直播电商：</w:t>
      </w:r>
      <w:r>
        <w:rPr>
          <w:rFonts w:hint="eastAsia"/>
          <w:spacing w:val="-5"/>
          <w:lang w:val="en-US" w:eastAsia="zh"/>
          <w:woUserID w:val="1"/>
        </w:rPr>
        <w:t>1</w:t>
      </w:r>
      <w:r>
        <w:rPr>
          <w:rFonts w:hint="eastAsia"/>
          <w:spacing w:val="-5"/>
          <w:lang w:val="en-US" w:eastAsia="zh-CN"/>
        </w:rPr>
        <w:t>人</w:t>
      </w:r>
    </w:p>
    <w:p w14:paraId="50C18685">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ind w:firstLine="580" w:firstLineChars="200"/>
        <w:jc w:val="both"/>
        <w:textAlignment w:val="baseline"/>
        <w:rPr>
          <w:rFonts w:hint="eastAsia"/>
          <w:spacing w:val="-5"/>
          <w:lang w:val="en-US" w:eastAsia="zh-CN"/>
        </w:rPr>
      </w:pPr>
      <w:r>
        <w:rPr>
          <w:rFonts w:hint="eastAsia"/>
          <w:spacing w:val="-5"/>
          <w:lang w:val="en-US" w:eastAsia="zh"/>
          <w:woUserID w:val="1"/>
        </w:rPr>
        <w:t>网络</w:t>
      </w:r>
      <w:bookmarkStart w:id="0" w:name="_GoBack"/>
      <w:bookmarkEnd w:id="0"/>
      <w:r>
        <w:rPr>
          <w:rFonts w:hint="eastAsia"/>
          <w:spacing w:val="-5"/>
          <w:lang w:val="en-US" w:eastAsia="zh-CN"/>
        </w:rPr>
        <w:t>直播与运营：</w:t>
      </w:r>
      <w:r>
        <w:rPr>
          <w:rFonts w:hint="eastAsia"/>
          <w:spacing w:val="-5"/>
          <w:lang w:val="en-US" w:eastAsia="zh"/>
          <w:woUserID w:val="1"/>
        </w:rPr>
        <w:t>4</w:t>
      </w:r>
      <w:r>
        <w:rPr>
          <w:rFonts w:hint="eastAsia"/>
          <w:spacing w:val="-5"/>
          <w:lang w:val="en-US" w:eastAsia="zh-CN"/>
        </w:rPr>
        <w:t>人</w:t>
      </w:r>
    </w:p>
    <w:p w14:paraId="517F094E">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ind w:firstLine="580" w:firstLineChars="200"/>
        <w:jc w:val="both"/>
        <w:textAlignment w:val="baseline"/>
        <w:rPr>
          <w:rFonts w:hint="eastAsia"/>
          <w:spacing w:val="-5"/>
          <w:lang w:val="en-US" w:eastAsia="zh-CN"/>
        </w:rPr>
      </w:pPr>
      <w:r>
        <w:rPr>
          <w:rFonts w:hint="eastAsia"/>
          <w:spacing w:val="-5"/>
          <w:lang w:val="en-US" w:eastAsia="zh-CN"/>
        </w:rPr>
        <w:t>智能物流技术：</w:t>
      </w:r>
      <w:r>
        <w:rPr>
          <w:rFonts w:hint="eastAsia"/>
          <w:spacing w:val="-5"/>
          <w:lang w:val="en-US" w:eastAsia="zh"/>
          <w:woUserID w:val="1"/>
        </w:rPr>
        <w:t>2</w:t>
      </w:r>
      <w:r>
        <w:rPr>
          <w:rFonts w:hint="eastAsia"/>
          <w:spacing w:val="-5"/>
          <w:lang w:val="en-US" w:eastAsia="zh-CN"/>
        </w:rPr>
        <w:t>人</w:t>
      </w:r>
    </w:p>
    <w:p w14:paraId="4C656EF8">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ind w:firstLine="580" w:firstLineChars="200"/>
        <w:jc w:val="both"/>
        <w:textAlignment w:val="baseline"/>
        <w:rPr>
          <w:rFonts w:hint="eastAsia"/>
          <w:b/>
          <w:bCs/>
          <w:spacing w:val="-5"/>
          <w:lang w:val="en-US" w:eastAsia="zh-CN"/>
        </w:rPr>
      </w:pPr>
      <w:r>
        <w:rPr>
          <w:rFonts w:hint="eastAsia"/>
          <w:b/>
          <w:bCs/>
          <w:spacing w:val="-5"/>
          <w:lang w:val="en-US" w:eastAsia="zh-CN"/>
        </w:rPr>
        <w:t>（二）转出要求</w:t>
      </w:r>
    </w:p>
    <w:p w14:paraId="270A7449">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ind w:firstLine="580" w:firstLineChars="200"/>
        <w:jc w:val="both"/>
        <w:textAlignment w:val="baseline"/>
        <w:rPr>
          <w:rFonts w:hint="eastAsia"/>
          <w:spacing w:val="-5"/>
          <w:lang w:val="en-US" w:eastAsia="zh-CN"/>
        </w:rPr>
      </w:pPr>
      <w:r>
        <w:rPr>
          <w:rFonts w:hint="eastAsia"/>
          <w:spacing w:val="-5"/>
          <w:lang w:val="en-US" w:eastAsia="zh-CN"/>
        </w:rPr>
        <w:t>1.拟</w:t>
      </w:r>
      <w:r>
        <w:rPr>
          <w:spacing w:val="-5"/>
          <w:lang w:val="en-US" w:eastAsia="zh-CN"/>
        </w:rPr>
        <w:t>转出学生应具有不适合</w:t>
      </w:r>
      <w:r>
        <w:rPr>
          <w:rFonts w:hint="eastAsia"/>
          <w:spacing w:val="-5"/>
          <w:lang w:val="en-US" w:eastAsia="zh-CN"/>
        </w:rPr>
        <w:t>在商学院原专业继续学习的合理原因；</w:t>
      </w:r>
    </w:p>
    <w:p w14:paraId="4783222D">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ind w:firstLine="580" w:firstLineChars="200"/>
        <w:jc w:val="both"/>
        <w:textAlignment w:val="baseline"/>
        <w:rPr>
          <w:rFonts w:hint="eastAsia" w:eastAsia="仿宋"/>
          <w:spacing w:val="-5"/>
          <w:lang w:val="en-US" w:eastAsia="zh-CN"/>
        </w:rPr>
      </w:pPr>
      <w:r>
        <w:rPr>
          <w:rFonts w:hint="eastAsia"/>
          <w:spacing w:val="-5"/>
          <w:lang w:val="en-US" w:eastAsia="zh-CN"/>
        </w:rPr>
        <w:t>2.</w:t>
      </w:r>
      <w:r>
        <w:rPr>
          <w:spacing w:val="-5"/>
        </w:rPr>
        <w:t>为鼓励学生好好学习，转专业时根据转专业学生的在校成绩和平时表现择优推荐和审批</w:t>
      </w:r>
      <w:r>
        <w:rPr>
          <w:rFonts w:hint="eastAsia"/>
          <w:spacing w:val="-5"/>
          <w:lang w:eastAsia="zh-CN"/>
        </w:rPr>
        <w:t>。</w:t>
      </w:r>
    </w:p>
    <w:p w14:paraId="31D986A4">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ind w:firstLine="580" w:firstLineChars="200"/>
        <w:jc w:val="both"/>
        <w:textAlignment w:val="baseline"/>
        <w:rPr>
          <w:rFonts w:hint="eastAsia" w:ascii="黑体" w:hAnsi="黑体" w:eastAsia="黑体" w:cs="黑体"/>
          <w:spacing w:val="-5"/>
          <w:lang w:val="en-US" w:eastAsia="zh-CN"/>
        </w:rPr>
      </w:pPr>
      <w:r>
        <w:rPr>
          <w:rFonts w:hint="eastAsia" w:ascii="黑体" w:hAnsi="黑体" w:eastAsia="黑体" w:cs="黑体"/>
          <w:spacing w:val="-5"/>
          <w:lang w:val="en-US" w:eastAsia="zh-CN"/>
        </w:rPr>
        <w:t>三、时间安排</w:t>
      </w:r>
    </w:p>
    <w:p w14:paraId="3907C487">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ind w:firstLine="580" w:firstLineChars="200"/>
        <w:jc w:val="both"/>
        <w:textAlignment w:val="baseline"/>
        <w:rPr>
          <w:spacing w:val="-5"/>
        </w:rPr>
      </w:pPr>
      <w:r>
        <w:rPr>
          <w:rFonts w:hint="eastAsia"/>
          <w:spacing w:val="-5"/>
          <w:lang w:val="en-US" w:eastAsia="zh-CN"/>
        </w:rPr>
        <w:t>按照学校《河南信息统计职业学院关于2024及新生转专业工作的通知》（豫统院[2024]221号）文件要求，我院的转专业时间安排如下：</w:t>
      </w:r>
    </w:p>
    <w:p w14:paraId="4024B5EC">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580" w:firstLineChars="200"/>
        <w:jc w:val="both"/>
        <w:textAlignment w:val="baseline"/>
        <w:rPr>
          <w:spacing w:val="-5"/>
        </w:rPr>
      </w:pPr>
      <w:r>
        <w:rPr>
          <w:spacing w:val="-5"/>
        </w:rPr>
        <w:t>1.2024年12月</w:t>
      </w:r>
      <w:r>
        <w:rPr>
          <w:rFonts w:hint="eastAsia"/>
          <w:spacing w:val="-5"/>
          <w:lang w:val="en-US" w:eastAsia="zh-CN"/>
        </w:rPr>
        <w:t>20</w:t>
      </w:r>
      <w:r>
        <w:rPr>
          <w:spacing w:val="-5"/>
        </w:rPr>
        <w:t>日前</w:t>
      </w:r>
      <w:r>
        <w:rPr>
          <w:rFonts w:hint="eastAsia"/>
          <w:spacing w:val="-5"/>
          <w:lang w:val="en-US" w:eastAsia="zh-CN"/>
        </w:rPr>
        <w:t>商</w:t>
      </w:r>
      <w:r>
        <w:rPr>
          <w:spacing w:val="-5"/>
        </w:rPr>
        <w:t>学院完成转专业</w:t>
      </w:r>
      <w:r>
        <w:rPr>
          <w:rFonts w:hint="eastAsia"/>
          <w:spacing w:val="-5"/>
          <w:lang w:val="en-US" w:eastAsia="zh-CN"/>
        </w:rPr>
        <w:t>工作</w:t>
      </w:r>
      <w:r>
        <w:rPr>
          <w:spacing w:val="-5"/>
        </w:rPr>
        <w:t>实施</w:t>
      </w:r>
      <w:r>
        <w:rPr>
          <w:rFonts w:hint="eastAsia"/>
          <w:spacing w:val="-5"/>
          <w:lang w:val="en-US" w:eastAsia="zh-CN"/>
        </w:rPr>
        <w:t>方案，明确转入条件，</w:t>
      </w:r>
      <w:r>
        <w:rPr>
          <w:spacing w:val="-5"/>
        </w:rPr>
        <w:t>并报送至</w:t>
      </w:r>
      <w:r>
        <w:rPr>
          <w:rFonts w:hint="eastAsia"/>
          <w:spacing w:val="-5"/>
          <w:lang w:val="en-US" w:eastAsia="zh-CN"/>
        </w:rPr>
        <w:t>学生工作部学生管理科</w:t>
      </w:r>
      <w:r>
        <w:rPr>
          <w:spacing w:val="-5"/>
        </w:rPr>
        <w:t>审核</w:t>
      </w:r>
      <w:r>
        <w:rPr>
          <w:rFonts w:hint="eastAsia"/>
          <w:spacing w:val="-5"/>
          <w:lang w:val="en-US" w:eastAsia="zh-CN"/>
        </w:rPr>
        <w:t>备案。</w:t>
      </w:r>
    </w:p>
    <w:p w14:paraId="2E5F00D1">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580" w:firstLineChars="200"/>
        <w:jc w:val="both"/>
        <w:textAlignment w:val="baseline"/>
        <w:rPr>
          <w:spacing w:val="-5"/>
        </w:rPr>
      </w:pPr>
      <w:r>
        <w:rPr>
          <w:spacing w:val="-5"/>
        </w:rPr>
        <w:t>2.2024年12月</w:t>
      </w:r>
      <w:r>
        <w:rPr>
          <w:rFonts w:hint="eastAsia"/>
          <w:spacing w:val="-5"/>
          <w:lang w:val="en-US" w:eastAsia="zh-CN"/>
        </w:rPr>
        <w:t>21-22</w:t>
      </w:r>
      <w:r>
        <w:rPr>
          <w:spacing w:val="-5"/>
        </w:rPr>
        <w:t>日学生进行转专业申请</w:t>
      </w:r>
      <w:r>
        <w:rPr>
          <w:rFonts w:hint="eastAsia"/>
          <w:spacing w:val="-5"/>
          <w:lang w:eastAsia="zh-CN"/>
        </w:rPr>
        <w:t>，</w:t>
      </w:r>
      <w:r>
        <w:rPr>
          <w:rFonts w:hint="eastAsia"/>
          <w:spacing w:val="-5"/>
          <w:lang w:val="en-US" w:eastAsia="zh-CN"/>
        </w:rPr>
        <w:t>填写</w:t>
      </w:r>
      <w:r>
        <w:rPr>
          <w:spacing w:val="-5"/>
          <w:lang w:val="en-US" w:eastAsia="zh-CN"/>
        </w:rPr>
        <w:t>《河南信</w:t>
      </w:r>
      <w:r>
        <w:rPr>
          <w:rFonts w:hint="eastAsia"/>
          <w:spacing w:val="-5"/>
          <w:lang w:val="en-US" w:eastAsia="zh-CN"/>
        </w:rPr>
        <w:t>息统计职业学院学生转专业申请表》（附件1）并提交相关证明材料，</w:t>
      </w:r>
      <w:r>
        <w:rPr>
          <w:spacing w:val="-5"/>
        </w:rPr>
        <w:t>申请转专业</w:t>
      </w:r>
      <w:r>
        <w:rPr>
          <w:rFonts w:hint="eastAsia"/>
          <w:spacing w:val="-5"/>
          <w:lang w:val="en-US" w:eastAsia="zh-CN"/>
        </w:rPr>
        <w:t>截止时间</w:t>
      </w:r>
      <w:r>
        <w:rPr>
          <w:spacing w:val="-5"/>
        </w:rPr>
        <w:t>为2024年12月</w:t>
      </w:r>
      <w:r>
        <w:rPr>
          <w:rFonts w:hint="eastAsia"/>
          <w:spacing w:val="-5"/>
          <w:lang w:val="en-US" w:eastAsia="zh-CN"/>
        </w:rPr>
        <w:t>22</w:t>
      </w:r>
      <w:r>
        <w:rPr>
          <w:spacing w:val="-5"/>
        </w:rPr>
        <w:t>日</w:t>
      </w:r>
      <w:r>
        <w:rPr>
          <w:rFonts w:hint="eastAsia"/>
          <w:spacing w:val="-5"/>
          <w:lang w:val="en-US" w:eastAsia="zh-CN"/>
        </w:rPr>
        <w:t>17</w:t>
      </w:r>
      <w:r>
        <w:rPr>
          <w:spacing w:val="-5"/>
        </w:rPr>
        <w:t>:00。逾期提出转专业申请者</w:t>
      </w:r>
      <w:r>
        <w:rPr>
          <w:rFonts w:hint="eastAsia"/>
          <w:spacing w:val="-5"/>
          <w:lang w:eastAsia="zh-CN"/>
        </w:rPr>
        <w:t>，</w:t>
      </w:r>
      <w:r>
        <w:rPr>
          <w:spacing w:val="-5"/>
        </w:rPr>
        <w:t>不予受理。</w:t>
      </w:r>
    </w:p>
    <w:p w14:paraId="31D7E1E2">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580" w:firstLineChars="200"/>
        <w:jc w:val="both"/>
        <w:textAlignment w:val="baseline"/>
        <w:rPr>
          <w:rFonts w:hint="eastAsia"/>
          <w:spacing w:val="-5"/>
          <w:lang w:val="en-US" w:eastAsia="zh-CN"/>
        </w:rPr>
      </w:pPr>
      <w:r>
        <w:rPr>
          <w:spacing w:val="-5"/>
        </w:rPr>
        <w:t>3.2024年12月</w:t>
      </w:r>
      <w:r>
        <w:rPr>
          <w:rFonts w:hint="eastAsia"/>
          <w:spacing w:val="-5"/>
          <w:lang w:val="en-US" w:eastAsia="zh-CN"/>
        </w:rPr>
        <w:t>23</w:t>
      </w:r>
      <w:r>
        <w:rPr>
          <w:spacing w:val="-5"/>
        </w:rPr>
        <w:t>日</w:t>
      </w:r>
      <w:r>
        <w:rPr>
          <w:rFonts w:hint="eastAsia"/>
          <w:spacing w:val="-5"/>
          <w:lang w:val="en-US" w:eastAsia="zh-CN"/>
        </w:rPr>
        <w:t>商</w:t>
      </w:r>
      <w:r>
        <w:rPr>
          <w:spacing w:val="-5"/>
        </w:rPr>
        <w:t>学院组建转专业领导小组，</w:t>
      </w:r>
      <w:r>
        <w:rPr>
          <w:rFonts w:hint="eastAsia"/>
          <w:spacing w:val="-5"/>
          <w:lang w:val="en-US" w:eastAsia="zh-CN"/>
        </w:rPr>
        <w:t>对学生转专业申请进行审核，</w:t>
      </w:r>
      <w:r>
        <w:rPr>
          <w:spacing w:val="-5"/>
          <w:lang w:val="en-US" w:eastAsia="zh-CN"/>
        </w:rPr>
        <w:t>同意学生转出的</w:t>
      </w:r>
      <w:r>
        <w:rPr>
          <w:rFonts w:hint="eastAsia"/>
          <w:spacing w:val="-5"/>
          <w:lang w:val="en-US" w:eastAsia="zh-CN"/>
        </w:rPr>
        <w:t>，</w:t>
      </w:r>
      <w:r>
        <w:rPr>
          <w:spacing w:val="-5"/>
          <w:lang w:val="en-US" w:eastAsia="zh-CN"/>
        </w:rPr>
        <w:t>在转专业申请表上由</w:t>
      </w:r>
      <w:r>
        <w:rPr>
          <w:rFonts w:hint="eastAsia"/>
          <w:spacing w:val="-5"/>
          <w:lang w:val="en-US" w:eastAsia="zh-CN"/>
        </w:rPr>
        <w:t>商</w:t>
      </w:r>
      <w:r>
        <w:rPr>
          <w:spacing w:val="-5"/>
          <w:lang w:val="en-US" w:eastAsia="zh-CN"/>
        </w:rPr>
        <w:t>学院党总支书记或院长</w:t>
      </w:r>
      <w:r>
        <w:rPr>
          <w:rFonts w:hint="eastAsia"/>
          <w:spacing w:val="-5"/>
          <w:lang w:val="en-US" w:eastAsia="zh-CN"/>
        </w:rPr>
        <w:t>签字盖章并填写《河南信息统计职业学院学生转专业汇总表》（附件2）和相关证明材料一并报学生工作部学生管理科。</w:t>
      </w:r>
    </w:p>
    <w:p w14:paraId="11A5C4C2">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580" w:firstLineChars="200"/>
        <w:jc w:val="both"/>
        <w:textAlignment w:val="baseline"/>
        <w:rPr>
          <w:rFonts w:hint="eastAsia"/>
          <w:spacing w:val="-5"/>
          <w:lang w:val="en-US" w:eastAsia="zh-CN"/>
        </w:rPr>
      </w:pPr>
      <w:r>
        <w:rPr>
          <w:rFonts w:hint="eastAsia"/>
          <w:spacing w:val="-5"/>
          <w:lang w:val="en-US" w:eastAsia="zh-CN"/>
        </w:rPr>
        <w:t>4.</w:t>
      </w:r>
      <w:r>
        <w:rPr>
          <w:spacing w:val="-5"/>
          <w:lang w:val="en-US" w:eastAsia="zh-CN"/>
        </w:rPr>
        <w:t>2024年</w:t>
      </w:r>
      <w:r>
        <w:rPr>
          <w:rFonts w:hint="eastAsia"/>
          <w:spacing w:val="-5"/>
          <w:lang w:val="en-US" w:eastAsia="zh-CN"/>
        </w:rPr>
        <w:t>1</w:t>
      </w:r>
      <w:r>
        <w:rPr>
          <w:spacing w:val="-5"/>
          <w:lang w:val="en-US" w:eastAsia="zh-CN"/>
        </w:rPr>
        <w:t>2月25日前</w:t>
      </w:r>
      <w:r>
        <w:rPr>
          <w:rFonts w:hint="eastAsia"/>
          <w:spacing w:val="-5"/>
          <w:lang w:val="en-US" w:eastAsia="zh-CN"/>
        </w:rPr>
        <w:t>，</w:t>
      </w:r>
      <w:r>
        <w:rPr>
          <w:spacing w:val="-5"/>
          <w:lang w:val="en-US" w:eastAsia="zh-CN"/>
        </w:rPr>
        <w:t>学生工作部审核后，将学生转专业申</w:t>
      </w:r>
      <w:r>
        <w:rPr>
          <w:rFonts w:hint="eastAsia"/>
          <w:spacing w:val="-5"/>
          <w:lang w:val="en-US" w:eastAsia="zh-CN"/>
        </w:rPr>
        <w:t>请表、汇总表和相关证明材料转交拟转入学院。</w:t>
      </w:r>
    </w:p>
    <w:p w14:paraId="3BCDDE19">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580" w:firstLineChars="200"/>
        <w:jc w:val="both"/>
        <w:textAlignment w:val="baseline"/>
        <w:rPr>
          <w:rFonts w:hint="eastAsia"/>
          <w:spacing w:val="-5"/>
          <w:lang w:val="en-US" w:eastAsia="zh-CN"/>
        </w:rPr>
      </w:pPr>
      <w:r>
        <w:rPr>
          <w:rFonts w:hint="eastAsia"/>
          <w:spacing w:val="-5"/>
          <w:lang w:val="en-US" w:eastAsia="zh-CN"/>
        </w:rPr>
        <w:t>5</w:t>
      </w:r>
      <w:r>
        <w:rPr>
          <w:spacing w:val="-5"/>
        </w:rPr>
        <w:t>.2024年</w:t>
      </w:r>
      <w:r>
        <w:rPr>
          <w:rFonts w:hint="eastAsia"/>
          <w:spacing w:val="-5"/>
          <w:lang w:val="en-US" w:eastAsia="zh-CN"/>
        </w:rPr>
        <w:t>1</w:t>
      </w:r>
      <w:r>
        <w:rPr>
          <w:spacing w:val="-5"/>
        </w:rPr>
        <w:t>2月</w:t>
      </w:r>
      <w:r>
        <w:rPr>
          <w:rFonts w:hint="eastAsia"/>
          <w:spacing w:val="-5"/>
          <w:lang w:val="en-US" w:eastAsia="zh-CN"/>
        </w:rPr>
        <w:t>31日前商</w:t>
      </w:r>
      <w:r>
        <w:rPr>
          <w:spacing w:val="-5"/>
        </w:rPr>
        <w:t xml:space="preserve">学院根据专业特点、教学资源等具体情况， </w:t>
      </w:r>
      <w:r>
        <w:rPr>
          <w:rFonts w:hint="eastAsia"/>
          <w:spacing w:val="-5"/>
          <w:lang w:val="en-US" w:eastAsia="zh-CN"/>
        </w:rPr>
        <w:t>由</w:t>
      </w:r>
      <w:r>
        <w:rPr>
          <w:spacing w:val="-5"/>
        </w:rPr>
        <w:t>转专业领导小组研究确定拟</w:t>
      </w:r>
      <w:r>
        <w:rPr>
          <w:rFonts w:hint="eastAsia"/>
          <w:spacing w:val="-5"/>
          <w:lang w:val="en-US" w:eastAsia="zh-CN"/>
        </w:rPr>
        <w:t>同意转入</w:t>
      </w:r>
      <w:r>
        <w:rPr>
          <w:spacing w:val="-5"/>
        </w:rPr>
        <w:t>学生名</w:t>
      </w:r>
      <w:r>
        <w:rPr>
          <w:rFonts w:hint="eastAsia"/>
          <w:spacing w:val="-5"/>
          <w:lang w:val="en-US" w:eastAsia="zh-CN"/>
        </w:rPr>
        <w:t>单并进行公示。</w:t>
      </w:r>
      <w:r>
        <w:rPr>
          <w:spacing w:val="-5"/>
          <w:lang w:val="en-US" w:eastAsia="zh-CN"/>
        </w:rPr>
        <w:t>公示结束后在学生</w:t>
      </w:r>
      <w:r>
        <w:rPr>
          <w:rFonts w:hint="eastAsia"/>
          <w:spacing w:val="-5"/>
          <w:lang w:val="en-US" w:eastAsia="zh-CN"/>
        </w:rPr>
        <w:t>转专业申请表上签署意见并加盖公章，将申请表和转专业情况报告(附同意转入学生名单及公示情况）报学生工作部。</w:t>
      </w:r>
    </w:p>
    <w:p w14:paraId="2D4C3223">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580" w:firstLineChars="200"/>
        <w:jc w:val="both"/>
        <w:textAlignment w:val="baseline"/>
        <w:rPr>
          <w:spacing w:val="-5"/>
        </w:rPr>
      </w:pPr>
      <w:r>
        <w:rPr>
          <w:rFonts w:hint="eastAsia"/>
          <w:spacing w:val="-5"/>
          <w:lang w:val="en-US" w:eastAsia="zh-CN"/>
        </w:rPr>
        <w:t>6.</w:t>
      </w:r>
      <w:r>
        <w:rPr>
          <w:spacing w:val="-5"/>
          <w:lang w:val="en-US" w:eastAsia="zh-CN"/>
        </w:rPr>
        <w:t>寒假前</w:t>
      </w:r>
      <w:r>
        <w:rPr>
          <w:rFonts w:hint="eastAsia"/>
          <w:spacing w:val="-5"/>
          <w:lang w:val="en-US" w:eastAsia="zh-CN"/>
        </w:rPr>
        <w:t>，</w:t>
      </w:r>
      <w:r>
        <w:rPr>
          <w:spacing w:val="-5"/>
          <w:lang w:val="en-US" w:eastAsia="zh-CN"/>
        </w:rPr>
        <w:t>学工部进行复核，并提交学校研究后进行</w:t>
      </w:r>
      <w:r>
        <w:rPr>
          <w:rFonts w:hint="eastAsia"/>
          <w:spacing w:val="-5"/>
          <w:lang w:val="en-US" w:eastAsia="zh-CN"/>
        </w:rPr>
        <w:t xml:space="preserve">公示，公示期结束后进行转专业处理。 </w:t>
      </w:r>
    </w:p>
    <w:p w14:paraId="1C697F07">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ind w:firstLine="580" w:firstLineChars="200"/>
        <w:jc w:val="both"/>
        <w:textAlignment w:val="baseline"/>
        <w:rPr>
          <w:rFonts w:hint="eastAsia"/>
          <w:spacing w:val="-5"/>
          <w:lang w:val="en-US" w:eastAsia="zh-CN"/>
        </w:rPr>
      </w:pPr>
      <w:r>
        <w:rPr>
          <w:rFonts w:hint="eastAsia"/>
          <w:spacing w:val="-5"/>
          <w:lang w:val="en-US" w:eastAsia="zh-CN"/>
        </w:rPr>
        <w:t>7.</w:t>
      </w:r>
      <w:r>
        <w:rPr>
          <w:spacing w:val="-5"/>
        </w:rPr>
        <w:t>春季学期</w:t>
      </w:r>
      <w:r>
        <w:rPr>
          <w:rFonts w:hint="eastAsia"/>
          <w:spacing w:val="-5"/>
          <w:lang w:val="en-US" w:eastAsia="zh-CN"/>
        </w:rPr>
        <w:t>开学前，学院通知转专业学生到转入班级报到，宿舍等其他安排一并调整完毕。</w:t>
      </w:r>
    </w:p>
    <w:p w14:paraId="62E07B10">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ind w:firstLine="580" w:firstLineChars="200"/>
        <w:jc w:val="both"/>
        <w:textAlignment w:val="baseline"/>
        <w:rPr>
          <w:rFonts w:hint="eastAsia" w:ascii="黑体" w:hAnsi="黑体" w:eastAsia="黑体" w:cs="黑体"/>
          <w:spacing w:val="-5"/>
          <w:lang w:val="en-US" w:eastAsia="zh-CN"/>
        </w:rPr>
      </w:pPr>
      <w:r>
        <w:rPr>
          <w:rFonts w:hint="eastAsia" w:ascii="黑体" w:hAnsi="黑体" w:eastAsia="黑体" w:cs="黑体"/>
          <w:spacing w:val="-5"/>
          <w:lang w:val="en-US" w:eastAsia="zh-CN"/>
        </w:rPr>
        <w:t>四、其他说明</w:t>
      </w:r>
    </w:p>
    <w:p w14:paraId="3F78065B">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ind w:firstLine="580" w:firstLineChars="200"/>
        <w:jc w:val="both"/>
        <w:textAlignment w:val="baseline"/>
        <w:rPr>
          <w:rFonts w:hint="eastAsia"/>
          <w:spacing w:val="-5"/>
          <w:lang w:val="en-US" w:eastAsia="zh-CN"/>
        </w:rPr>
      </w:pPr>
      <w:r>
        <w:rPr>
          <w:rFonts w:hint="eastAsia"/>
          <w:spacing w:val="-5"/>
          <w:lang w:val="en-US" w:eastAsia="zh-CN"/>
        </w:rPr>
        <w:t>1.学生在校期间，原则上只能进行一次专业调整。</w:t>
      </w:r>
    </w:p>
    <w:p w14:paraId="6828A0E6">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ind w:firstLine="580" w:firstLineChars="200"/>
        <w:jc w:val="both"/>
        <w:textAlignment w:val="baseline"/>
        <w:rPr>
          <w:spacing w:val="-5"/>
        </w:rPr>
      </w:pPr>
      <w:r>
        <w:rPr>
          <w:rFonts w:hint="eastAsia"/>
          <w:spacing w:val="-5"/>
          <w:lang w:val="en-US" w:eastAsia="zh-CN"/>
        </w:rPr>
        <w:t>2.学生要谨慎选择，原则上申请转专业并审批通过</w:t>
      </w:r>
      <w:r>
        <w:rPr>
          <w:spacing w:val="-5"/>
        </w:rPr>
        <w:t>的学生不允许反悔。</w:t>
      </w:r>
    </w:p>
    <w:p w14:paraId="528ABD83">
      <w:pPr>
        <w:pStyle w:val="2"/>
        <w:spacing w:before="98" w:line="314" w:lineRule="auto"/>
        <w:ind w:firstLine="601"/>
        <w:jc w:val="both"/>
        <w:rPr>
          <w:spacing w:val="-5"/>
        </w:rPr>
      </w:pPr>
      <w:r>
        <w:rPr>
          <w:spacing w:val="-5"/>
        </w:rPr>
        <w:t>3</w:t>
      </w:r>
      <w:r>
        <w:rPr>
          <w:rFonts w:hint="eastAsia"/>
          <w:spacing w:val="-5"/>
          <w:lang w:eastAsia="zh-CN"/>
        </w:rPr>
        <w:t>.</w:t>
      </w:r>
      <w:r>
        <w:rPr>
          <w:spacing w:val="-5"/>
        </w:rPr>
        <w:t>凡转专业的学生，执行转入专业的人才培养方案。</w:t>
      </w:r>
    </w:p>
    <w:p w14:paraId="3550369C">
      <w:pPr>
        <w:pStyle w:val="2"/>
        <w:spacing w:before="98" w:line="314" w:lineRule="auto"/>
        <w:ind w:firstLine="601"/>
        <w:jc w:val="both"/>
        <w:rPr>
          <w:spacing w:val="-5"/>
        </w:rPr>
      </w:pPr>
      <w:r>
        <w:rPr>
          <w:spacing w:val="-5"/>
        </w:rPr>
        <w:t>附件：</w:t>
      </w:r>
      <w:r>
        <w:rPr>
          <w:rFonts w:hint="eastAsia"/>
          <w:spacing w:val="-5"/>
          <w:lang w:val="en-US" w:eastAsia="zh-CN"/>
        </w:rPr>
        <w:t>1.</w:t>
      </w:r>
      <w:r>
        <w:rPr>
          <w:spacing w:val="-5"/>
        </w:rPr>
        <w:t>河南信息统计职业学院学生转专业审批表</w:t>
      </w:r>
    </w:p>
    <w:p w14:paraId="1AB811F1">
      <w:pPr>
        <w:pStyle w:val="2"/>
        <w:spacing w:before="98" w:line="314" w:lineRule="auto"/>
        <w:ind w:firstLine="1450" w:firstLineChars="500"/>
        <w:jc w:val="both"/>
        <w:rPr>
          <w:spacing w:val="-5"/>
        </w:rPr>
      </w:pPr>
      <w:r>
        <w:rPr>
          <w:rFonts w:hint="eastAsia"/>
          <w:spacing w:val="-5"/>
          <w:lang w:val="en-US" w:eastAsia="zh-CN"/>
        </w:rPr>
        <w:t>2</w:t>
      </w:r>
      <w:r>
        <w:rPr>
          <w:spacing w:val="-5"/>
        </w:rPr>
        <w:t>.河南信息统计职业学院学生转专业汇总表</w:t>
      </w:r>
    </w:p>
    <w:p w14:paraId="07222300">
      <w:pPr>
        <w:pStyle w:val="2"/>
        <w:spacing w:before="98" w:line="314" w:lineRule="auto"/>
        <w:ind w:firstLine="601"/>
        <w:jc w:val="center"/>
        <w:rPr>
          <w:spacing w:val="-5"/>
        </w:rPr>
      </w:pPr>
      <w:r>
        <w:rPr>
          <w:rFonts w:hint="eastAsia"/>
          <w:spacing w:val="-5"/>
          <w:lang w:val="en-US" w:eastAsia="zh-CN"/>
        </w:rPr>
        <w:t xml:space="preserve">                                                 商</w:t>
      </w:r>
      <w:r>
        <w:rPr>
          <w:spacing w:val="-5"/>
        </w:rPr>
        <w:t xml:space="preserve">学院 </w:t>
      </w:r>
    </w:p>
    <w:p w14:paraId="479B2634">
      <w:pPr>
        <w:pStyle w:val="2"/>
        <w:spacing w:before="98" w:line="314" w:lineRule="auto"/>
        <w:ind w:firstLine="601"/>
        <w:jc w:val="right"/>
        <w:rPr>
          <w:spacing w:val="-5"/>
        </w:rPr>
      </w:pPr>
      <w:r>
        <w:rPr>
          <w:spacing w:val="-5"/>
        </w:rPr>
        <w:t>2024年12月</w:t>
      </w:r>
      <w:r>
        <w:rPr>
          <w:rFonts w:hint="eastAsia"/>
          <w:spacing w:val="-5"/>
          <w:lang w:val="en-US" w:eastAsia="zh-CN"/>
        </w:rPr>
        <w:t>19</w:t>
      </w:r>
      <w:r>
        <w:rPr>
          <w:spacing w:val="-5"/>
        </w:rPr>
        <w:t>日</w:t>
      </w:r>
    </w:p>
    <w:p w14:paraId="41E3ECDF">
      <w:pPr>
        <w:pStyle w:val="2"/>
        <w:spacing w:before="98" w:line="314" w:lineRule="auto"/>
        <w:ind w:firstLine="601"/>
        <w:jc w:val="both"/>
        <w:rPr>
          <w:spacing w:val="-5"/>
        </w:rPr>
      </w:pPr>
    </w:p>
    <w:p w14:paraId="1CE8FF5C">
      <w:pPr>
        <w:spacing w:before="330" w:line="230" w:lineRule="auto"/>
        <w:rPr>
          <w:rFonts w:ascii="黑体" w:hAnsi="黑体" w:eastAsia="黑体" w:cs="黑体"/>
          <w:spacing w:val="-4"/>
          <w:sz w:val="31"/>
          <w:szCs w:val="31"/>
        </w:rPr>
      </w:pPr>
    </w:p>
    <w:p w14:paraId="21055F41">
      <w:pPr>
        <w:spacing w:before="330" w:line="230" w:lineRule="auto"/>
        <w:rPr>
          <w:rFonts w:ascii="黑体" w:hAnsi="黑体" w:eastAsia="黑体" w:cs="黑体"/>
          <w:spacing w:val="-4"/>
          <w:sz w:val="31"/>
          <w:szCs w:val="31"/>
        </w:rPr>
      </w:pPr>
    </w:p>
    <w:p w14:paraId="7D24B329">
      <w:pPr>
        <w:spacing w:before="330" w:line="230" w:lineRule="auto"/>
        <w:ind w:left="143"/>
        <w:rPr>
          <w:rFonts w:hint="eastAsia" w:ascii="黑体" w:hAnsi="黑体" w:eastAsia="黑体" w:cs="黑体"/>
          <w:sz w:val="31"/>
          <w:szCs w:val="31"/>
          <w:lang w:eastAsia="zh-CN"/>
        </w:rPr>
      </w:pPr>
      <w:r>
        <w:rPr>
          <w:rFonts w:ascii="黑体" w:hAnsi="黑体" w:eastAsia="黑体" w:cs="黑体"/>
          <w:spacing w:val="-4"/>
          <w:sz w:val="31"/>
          <w:szCs w:val="31"/>
        </w:rPr>
        <w:t>附件</w:t>
      </w:r>
      <w:r>
        <w:rPr>
          <w:rFonts w:ascii="黑体" w:hAnsi="黑体" w:eastAsia="黑体" w:cs="黑体"/>
          <w:spacing w:val="-64"/>
          <w:sz w:val="31"/>
          <w:szCs w:val="31"/>
        </w:rPr>
        <w:t xml:space="preserve"> </w:t>
      </w:r>
      <w:r>
        <w:rPr>
          <w:rFonts w:hint="eastAsia" w:ascii="黑体" w:hAnsi="黑体" w:eastAsia="黑体" w:cs="黑体"/>
          <w:spacing w:val="-4"/>
          <w:sz w:val="31"/>
          <w:szCs w:val="31"/>
          <w:lang w:val="en-US" w:eastAsia="zh-CN"/>
        </w:rPr>
        <w:t>1</w:t>
      </w:r>
    </w:p>
    <w:p w14:paraId="1B0E8FD1">
      <w:pPr>
        <w:spacing w:before="223" w:line="445" w:lineRule="exact"/>
        <w:ind w:left="516"/>
        <w:rPr>
          <w:rFonts w:ascii="微软雅黑" w:hAnsi="微软雅黑" w:eastAsia="微软雅黑" w:cs="微软雅黑"/>
          <w:sz w:val="44"/>
          <w:szCs w:val="44"/>
        </w:rPr>
      </w:pPr>
      <w:r>
        <w:rPr>
          <w:rFonts w:ascii="微软雅黑" w:hAnsi="微软雅黑" w:eastAsia="微软雅黑" w:cs="微软雅黑"/>
          <w:spacing w:val="-1"/>
          <w:position w:val="-2"/>
          <w:sz w:val="44"/>
          <w:szCs w:val="44"/>
        </w:rPr>
        <w:t>河南信息统计职业学院学生转专业审批表</w:t>
      </w:r>
    </w:p>
    <w:p w14:paraId="47DE9500">
      <w:pPr>
        <w:spacing w:before="25"/>
      </w:pPr>
    </w:p>
    <w:tbl>
      <w:tblPr>
        <w:tblStyle w:val="6"/>
        <w:tblW w:w="92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9"/>
        <w:gridCol w:w="805"/>
        <w:gridCol w:w="684"/>
        <w:gridCol w:w="747"/>
        <w:gridCol w:w="1130"/>
        <w:gridCol w:w="563"/>
        <w:gridCol w:w="740"/>
        <w:gridCol w:w="345"/>
        <w:gridCol w:w="321"/>
        <w:gridCol w:w="717"/>
        <w:gridCol w:w="1225"/>
        <w:gridCol w:w="1122"/>
      </w:tblGrid>
      <w:tr w14:paraId="4DA44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859" w:type="dxa"/>
            <w:vAlign w:val="top"/>
          </w:tcPr>
          <w:p w14:paraId="70339F0F">
            <w:pPr>
              <w:spacing w:before="266" w:line="227" w:lineRule="auto"/>
              <w:ind w:left="185"/>
              <w:rPr>
                <w:rFonts w:ascii="宋体" w:hAnsi="宋体" w:eastAsia="宋体" w:cs="宋体"/>
                <w:sz w:val="24"/>
                <w:szCs w:val="24"/>
              </w:rPr>
            </w:pPr>
            <w:r>
              <w:rPr>
                <w:rFonts w:ascii="宋体" w:hAnsi="宋体" w:eastAsia="宋体" w:cs="宋体"/>
                <w:spacing w:val="4"/>
                <w:sz w:val="24"/>
                <w:szCs w:val="24"/>
              </w:rPr>
              <w:t>姓名</w:t>
            </w:r>
          </w:p>
        </w:tc>
        <w:tc>
          <w:tcPr>
            <w:tcW w:w="1489" w:type="dxa"/>
            <w:gridSpan w:val="2"/>
            <w:vAlign w:val="top"/>
          </w:tcPr>
          <w:p w14:paraId="4EC27A12">
            <w:pPr>
              <w:pStyle w:val="7"/>
            </w:pPr>
          </w:p>
        </w:tc>
        <w:tc>
          <w:tcPr>
            <w:tcW w:w="747" w:type="dxa"/>
            <w:vAlign w:val="top"/>
          </w:tcPr>
          <w:p w14:paraId="75D3C7F1">
            <w:pPr>
              <w:spacing w:before="265" w:line="228" w:lineRule="auto"/>
              <w:ind w:left="118"/>
              <w:rPr>
                <w:rFonts w:ascii="宋体" w:hAnsi="宋体" w:eastAsia="宋体" w:cs="宋体"/>
                <w:sz w:val="24"/>
                <w:szCs w:val="24"/>
              </w:rPr>
            </w:pPr>
            <w:r>
              <w:rPr>
                <w:rFonts w:ascii="宋体" w:hAnsi="宋体" w:eastAsia="宋体" w:cs="宋体"/>
                <w:spacing w:val="3"/>
                <w:sz w:val="24"/>
                <w:szCs w:val="24"/>
              </w:rPr>
              <w:t>性别</w:t>
            </w:r>
          </w:p>
        </w:tc>
        <w:tc>
          <w:tcPr>
            <w:tcW w:w="1130" w:type="dxa"/>
            <w:vAlign w:val="top"/>
          </w:tcPr>
          <w:p w14:paraId="437627FF">
            <w:pPr>
              <w:pStyle w:val="7"/>
            </w:pPr>
          </w:p>
        </w:tc>
        <w:tc>
          <w:tcPr>
            <w:tcW w:w="1303" w:type="dxa"/>
            <w:gridSpan w:val="2"/>
            <w:vAlign w:val="top"/>
          </w:tcPr>
          <w:p w14:paraId="4C8978AB">
            <w:pPr>
              <w:spacing w:before="266" w:line="227" w:lineRule="auto"/>
              <w:ind w:left="179"/>
              <w:rPr>
                <w:rFonts w:ascii="宋体" w:hAnsi="宋体" w:eastAsia="宋体" w:cs="宋体"/>
                <w:sz w:val="24"/>
                <w:szCs w:val="24"/>
              </w:rPr>
            </w:pPr>
            <w:r>
              <w:rPr>
                <w:rFonts w:ascii="宋体" w:hAnsi="宋体" w:eastAsia="宋体" w:cs="宋体"/>
                <w:spacing w:val="1"/>
                <w:sz w:val="24"/>
                <w:szCs w:val="24"/>
              </w:rPr>
              <w:t>出生年月</w:t>
            </w:r>
          </w:p>
        </w:tc>
        <w:tc>
          <w:tcPr>
            <w:tcW w:w="1383" w:type="dxa"/>
            <w:gridSpan w:val="3"/>
            <w:vAlign w:val="top"/>
          </w:tcPr>
          <w:p w14:paraId="49085509">
            <w:pPr>
              <w:pStyle w:val="7"/>
            </w:pPr>
          </w:p>
        </w:tc>
        <w:tc>
          <w:tcPr>
            <w:tcW w:w="1225" w:type="dxa"/>
            <w:vAlign w:val="top"/>
          </w:tcPr>
          <w:p w14:paraId="400401A9">
            <w:pPr>
              <w:spacing w:before="266" w:line="226" w:lineRule="auto"/>
              <w:ind w:left="118"/>
              <w:rPr>
                <w:rFonts w:ascii="宋体" w:hAnsi="宋体" w:eastAsia="宋体" w:cs="宋体"/>
                <w:sz w:val="24"/>
                <w:szCs w:val="24"/>
              </w:rPr>
            </w:pPr>
            <w:r>
              <w:rPr>
                <w:rFonts w:ascii="宋体" w:hAnsi="宋体" w:eastAsia="宋体" w:cs="宋体"/>
                <w:spacing w:val="7"/>
                <w:sz w:val="24"/>
                <w:szCs w:val="24"/>
              </w:rPr>
              <w:t>政治面貌</w:t>
            </w:r>
          </w:p>
        </w:tc>
        <w:tc>
          <w:tcPr>
            <w:tcW w:w="1122" w:type="dxa"/>
            <w:vAlign w:val="top"/>
          </w:tcPr>
          <w:p w14:paraId="6912C76E">
            <w:pPr>
              <w:pStyle w:val="7"/>
            </w:pPr>
          </w:p>
        </w:tc>
      </w:tr>
      <w:tr w14:paraId="22100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59" w:type="dxa"/>
            <w:vAlign w:val="top"/>
          </w:tcPr>
          <w:p w14:paraId="5C801431">
            <w:pPr>
              <w:spacing w:before="259" w:line="228" w:lineRule="auto"/>
              <w:ind w:left="184"/>
              <w:rPr>
                <w:rFonts w:ascii="宋体" w:hAnsi="宋体" w:eastAsia="宋体" w:cs="宋体"/>
                <w:sz w:val="24"/>
                <w:szCs w:val="24"/>
              </w:rPr>
            </w:pPr>
            <w:r>
              <w:rPr>
                <w:rFonts w:ascii="宋体" w:hAnsi="宋体" w:eastAsia="宋体" w:cs="宋体"/>
                <w:spacing w:val="5"/>
                <w:sz w:val="24"/>
                <w:szCs w:val="24"/>
              </w:rPr>
              <w:t>班级</w:t>
            </w:r>
          </w:p>
        </w:tc>
        <w:tc>
          <w:tcPr>
            <w:tcW w:w="1489" w:type="dxa"/>
            <w:gridSpan w:val="2"/>
            <w:vAlign w:val="top"/>
          </w:tcPr>
          <w:p w14:paraId="555D7A77">
            <w:pPr>
              <w:pStyle w:val="7"/>
            </w:pPr>
          </w:p>
        </w:tc>
        <w:tc>
          <w:tcPr>
            <w:tcW w:w="747" w:type="dxa"/>
            <w:vAlign w:val="top"/>
          </w:tcPr>
          <w:p w14:paraId="60D70954">
            <w:pPr>
              <w:spacing w:before="258" w:line="227" w:lineRule="auto"/>
              <w:ind w:left="116"/>
              <w:rPr>
                <w:rFonts w:ascii="宋体" w:hAnsi="宋体" w:eastAsia="宋体" w:cs="宋体"/>
                <w:sz w:val="24"/>
                <w:szCs w:val="24"/>
              </w:rPr>
            </w:pPr>
            <w:r>
              <w:rPr>
                <w:rFonts w:ascii="宋体" w:hAnsi="宋体" w:eastAsia="宋体" w:cs="宋体"/>
                <w:spacing w:val="4"/>
                <w:sz w:val="24"/>
                <w:szCs w:val="24"/>
              </w:rPr>
              <w:t>职务</w:t>
            </w:r>
          </w:p>
        </w:tc>
        <w:tc>
          <w:tcPr>
            <w:tcW w:w="1130" w:type="dxa"/>
            <w:vAlign w:val="top"/>
          </w:tcPr>
          <w:p w14:paraId="57F55511">
            <w:pPr>
              <w:pStyle w:val="7"/>
            </w:pPr>
          </w:p>
        </w:tc>
        <w:tc>
          <w:tcPr>
            <w:tcW w:w="1303" w:type="dxa"/>
            <w:gridSpan w:val="2"/>
            <w:vAlign w:val="top"/>
          </w:tcPr>
          <w:p w14:paraId="71640EA2">
            <w:pPr>
              <w:spacing w:before="259" w:line="228" w:lineRule="auto"/>
              <w:ind w:left="157"/>
              <w:rPr>
                <w:rFonts w:ascii="宋体" w:hAnsi="宋体" w:eastAsia="宋体" w:cs="宋体"/>
                <w:sz w:val="24"/>
                <w:szCs w:val="24"/>
              </w:rPr>
            </w:pPr>
            <w:r>
              <w:rPr>
                <w:rFonts w:ascii="宋体" w:hAnsi="宋体" w:eastAsia="宋体" w:cs="宋体"/>
                <w:spacing w:val="7"/>
                <w:sz w:val="24"/>
                <w:szCs w:val="24"/>
              </w:rPr>
              <w:t>入学时间</w:t>
            </w:r>
          </w:p>
        </w:tc>
        <w:tc>
          <w:tcPr>
            <w:tcW w:w="1383" w:type="dxa"/>
            <w:gridSpan w:val="3"/>
            <w:vAlign w:val="top"/>
          </w:tcPr>
          <w:p w14:paraId="56DB3FFC">
            <w:pPr>
              <w:pStyle w:val="7"/>
            </w:pPr>
          </w:p>
        </w:tc>
        <w:tc>
          <w:tcPr>
            <w:tcW w:w="1225" w:type="dxa"/>
            <w:vAlign w:val="top"/>
          </w:tcPr>
          <w:p w14:paraId="7EB4BC56">
            <w:pPr>
              <w:spacing w:before="258" w:line="228" w:lineRule="auto"/>
              <w:ind w:left="253"/>
              <w:rPr>
                <w:rFonts w:ascii="宋体" w:hAnsi="宋体" w:eastAsia="宋体" w:cs="宋体"/>
                <w:sz w:val="24"/>
                <w:szCs w:val="24"/>
              </w:rPr>
            </w:pPr>
            <w:r>
              <w:rPr>
                <w:rFonts w:ascii="宋体" w:hAnsi="宋体" w:eastAsia="宋体" w:cs="宋体"/>
                <w:spacing w:val="-3"/>
                <w:sz w:val="24"/>
                <w:szCs w:val="24"/>
              </w:rPr>
              <w:t>学</w:t>
            </w:r>
            <w:r>
              <w:rPr>
                <w:rFonts w:ascii="宋体" w:hAnsi="宋体" w:eastAsia="宋体" w:cs="宋体"/>
                <w:spacing w:val="10"/>
                <w:sz w:val="24"/>
                <w:szCs w:val="24"/>
              </w:rPr>
              <w:t xml:space="preserve">  </w:t>
            </w:r>
            <w:r>
              <w:rPr>
                <w:rFonts w:ascii="宋体" w:hAnsi="宋体" w:eastAsia="宋体" w:cs="宋体"/>
                <w:spacing w:val="-3"/>
                <w:sz w:val="24"/>
                <w:szCs w:val="24"/>
              </w:rPr>
              <w:t>制</w:t>
            </w:r>
          </w:p>
        </w:tc>
        <w:tc>
          <w:tcPr>
            <w:tcW w:w="1122" w:type="dxa"/>
            <w:vAlign w:val="top"/>
          </w:tcPr>
          <w:p w14:paraId="211B05E3">
            <w:pPr>
              <w:pStyle w:val="7"/>
            </w:pPr>
          </w:p>
        </w:tc>
      </w:tr>
      <w:tr w14:paraId="6D5D31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664" w:type="dxa"/>
            <w:gridSpan w:val="2"/>
            <w:vAlign w:val="top"/>
          </w:tcPr>
          <w:p w14:paraId="454C3141">
            <w:pPr>
              <w:spacing w:before="188" w:line="228" w:lineRule="auto"/>
              <w:ind w:left="469"/>
              <w:rPr>
                <w:rFonts w:ascii="宋体" w:hAnsi="宋体" w:eastAsia="宋体" w:cs="宋体"/>
                <w:sz w:val="24"/>
                <w:szCs w:val="24"/>
              </w:rPr>
            </w:pPr>
            <w:r>
              <w:rPr>
                <w:rFonts w:ascii="宋体" w:hAnsi="宋体" w:eastAsia="宋体" w:cs="宋体"/>
                <w:spacing w:val="4"/>
                <w:sz w:val="24"/>
                <w:szCs w:val="24"/>
              </w:rPr>
              <w:t>原专业</w:t>
            </w:r>
          </w:p>
        </w:tc>
        <w:tc>
          <w:tcPr>
            <w:tcW w:w="2561" w:type="dxa"/>
            <w:gridSpan w:val="3"/>
            <w:vAlign w:val="top"/>
          </w:tcPr>
          <w:p w14:paraId="560CB1CF">
            <w:pPr>
              <w:pStyle w:val="7"/>
            </w:pPr>
          </w:p>
        </w:tc>
        <w:tc>
          <w:tcPr>
            <w:tcW w:w="1648" w:type="dxa"/>
            <w:gridSpan w:val="3"/>
            <w:vAlign w:val="top"/>
          </w:tcPr>
          <w:p w14:paraId="7A195AD0">
            <w:pPr>
              <w:spacing w:before="189" w:line="228" w:lineRule="auto"/>
              <w:ind w:left="585"/>
              <w:rPr>
                <w:rFonts w:ascii="宋体" w:hAnsi="宋体" w:eastAsia="宋体" w:cs="宋体"/>
                <w:sz w:val="24"/>
                <w:szCs w:val="24"/>
              </w:rPr>
            </w:pPr>
            <w:r>
              <w:rPr>
                <w:rFonts w:ascii="宋体" w:hAnsi="宋体" w:eastAsia="宋体" w:cs="宋体"/>
                <w:spacing w:val="2"/>
                <w:sz w:val="24"/>
                <w:szCs w:val="24"/>
              </w:rPr>
              <w:t>学号</w:t>
            </w:r>
          </w:p>
        </w:tc>
        <w:tc>
          <w:tcPr>
            <w:tcW w:w="3385" w:type="dxa"/>
            <w:gridSpan w:val="4"/>
            <w:vAlign w:val="top"/>
          </w:tcPr>
          <w:p w14:paraId="51EA67C6">
            <w:pPr>
              <w:pStyle w:val="7"/>
            </w:pPr>
          </w:p>
        </w:tc>
      </w:tr>
      <w:tr w14:paraId="193023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664" w:type="dxa"/>
            <w:gridSpan w:val="2"/>
            <w:vAlign w:val="top"/>
          </w:tcPr>
          <w:p w14:paraId="09561F22">
            <w:pPr>
              <w:spacing w:before="189" w:line="226" w:lineRule="auto"/>
              <w:ind w:left="214"/>
              <w:rPr>
                <w:rFonts w:ascii="宋体" w:hAnsi="宋体" w:eastAsia="宋体" w:cs="宋体"/>
                <w:sz w:val="24"/>
                <w:szCs w:val="24"/>
              </w:rPr>
            </w:pPr>
            <w:r>
              <w:rPr>
                <w:rFonts w:ascii="宋体" w:hAnsi="宋体" w:eastAsia="宋体" w:cs="宋体"/>
                <w:spacing w:val="8"/>
                <w:sz w:val="24"/>
                <w:szCs w:val="24"/>
              </w:rPr>
              <w:t>拟转入专业</w:t>
            </w:r>
          </w:p>
        </w:tc>
        <w:tc>
          <w:tcPr>
            <w:tcW w:w="2561" w:type="dxa"/>
            <w:gridSpan w:val="3"/>
            <w:vAlign w:val="top"/>
          </w:tcPr>
          <w:p w14:paraId="2A449BAD">
            <w:pPr>
              <w:pStyle w:val="7"/>
            </w:pPr>
          </w:p>
        </w:tc>
        <w:tc>
          <w:tcPr>
            <w:tcW w:w="1648" w:type="dxa"/>
            <w:gridSpan w:val="3"/>
            <w:vAlign w:val="top"/>
          </w:tcPr>
          <w:p w14:paraId="1344FA9D">
            <w:pPr>
              <w:spacing w:before="189" w:line="226" w:lineRule="auto"/>
              <w:ind w:left="206"/>
              <w:rPr>
                <w:rFonts w:ascii="宋体" w:hAnsi="宋体" w:eastAsia="宋体" w:cs="宋体"/>
                <w:sz w:val="24"/>
                <w:szCs w:val="24"/>
              </w:rPr>
            </w:pPr>
            <w:r>
              <w:rPr>
                <w:rFonts w:ascii="宋体" w:hAnsi="宋体" w:eastAsia="宋体" w:cs="宋体"/>
                <w:spacing w:val="8"/>
                <w:sz w:val="24"/>
                <w:szCs w:val="24"/>
              </w:rPr>
              <w:t>拟转入班级</w:t>
            </w:r>
          </w:p>
        </w:tc>
        <w:tc>
          <w:tcPr>
            <w:tcW w:w="3385" w:type="dxa"/>
            <w:gridSpan w:val="4"/>
            <w:vAlign w:val="top"/>
          </w:tcPr>
          <w:p w14:paraId="7157BB17">
            <w:pPr>
              <w:pStyle w:val="7"/>
            </w:pPr>
          </w:p>
        </w:tc>
      </w:tr>
      <w:tr w14:paraId="69E26B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9" w:hRule="atLeast"/>
        </w:trPr>
        <w:tc>
          <w:tcPr>
            <w:tcW w:w="1664" w:type="dxa"/>
            <w:gridSpan w:val="2"/>
            <w:vAlign w:val="top"/>
          </w:tcPr>
          <w:p w14:paraId="28EBC3FA">
            <w:pPr>
              <w:pStyle w:val="7"/>
              <w:spacing w:line="419" w:lineRule="auto"/>
            </w:pPr>
          </w:p>
          <w:p w14:paraId="2EA8AFE1">
            <w:pPr>
              <w:spacing w:before="78" w:line="468" w:lineRule="auto"/>
              <w:ind w:left="591" w:right="203" w:hanging="345"/>
              <w:rPr>
                <w:rFonts w:ascii="宋体" w:hAnsi="宋体" w:eastAsia="宋体" w:cs="宋体"/>
                <w:sz w:val="24"/>
                <w:szCs w:val="24"/>
              </w:rPr>
            </w:pPr>
            <w:r>
              <w:rPr>
                <w:rFonts w:ascii="宋体" w:hAnsi="宋体" w:eastAsia="宋体" w:cs="宋体"/>
                <w:spacing w:val="1"/>
                <w:sz w:val="24"/>
                <w:szCs w:val="24"/>
              </w:rPr>
              <w:t>申请转专业</w:t>
            </w:r>
            <w:r>
              <w:rPr>
                <w:rFonts w:ascii="宋体" w:hAnsi="宋体" w:eastAsia="宋体" w:cs="宋体"/>
                <w:spacing w:val="2"/>
                <w:sz w:val="24"/>
                <w:szCs w:val="24"/>
              </w:rPr>
              <w:t xml:space="preserve"> </w:t>
            </w:r>
            <w:r>
              <w:rPr>
                <w:rFonts w:ascii="宋体" w:hAnsi="宋体" w:eastAsia="宋体" w:cs="宋体"/>
                <w:spacing w:val="3"/>
                <w:sz w:val="24"/>
                <w:szCs w:val="24"/>
              </w:rPr>
              <w:t>理由</w:t>
            </w:r>
          </w:p>
        </w:tc>
        <w:tc>
          <w:tcPr>
            <w:tcW w:w="7594" w:type="dxa"/>
            <w:gridSpan w:val="10"/>
            <w:vAlign w:val="top"/>
          </w:tcPr>
          <w:p w14:paraId="4C7E90CC">
            <w:pPr>
              <w:pStyle w:val="7"/>
              <w:spacing w:line="269" w:lineRule="auto"/>
            </w:pPr>
          </w:p>
          <w:p w14:paraId="2078845E">
            <w:pPr>
              <w:pStyle w:val="7"/>
              <w:spacing w:line="270" w:lineRule="auto"/>
            </w:pPr>
          </w:p>
          <w:p w14:paraId="074DD982">
            <w:pPr>
              <w:pStyle w:val="7"/>
              <w:spacing w:line="270" w:lineRule="auto"/>
            </w:pPr>
          </w:p>
          <w:p w14:paraId="4C77F7DD">
            <w:pPr>
              <w:pStyle w:val="7"/>
              <w:spacing w:line="270" w:lineRule="auto"/>
            </w:pPr>
          </w:p>
          <w:p w14:paraId="46A53AE9">
            <w:pPr>
              <w:spacing w:before="78" w:line="228" w:lineRule="auto"/>
              <w:ind w:left="741"/>
              <w:rPr>
                <w:rFonts w:ascii="宋体" w:hAnsi="宋体" w:eastAsia="宋体" w:cs="宋体"/>
                <w:sz w:val="24"/>
                <w:szCs w:val="24"/>
              </w:rPr>
            </w:pPr>
            <w:r>
              <w:rPr>
                <w:rFonts w:ascii="宋体" w:hAnsi="宋体" w:eastAsia="宋体" w:cs="宋体"/>
                <w:spacing w:val="5"/>
                <w:sz w:val="24"/>
                <w:szCs w:val="24"/>
              </w:rPr>
              <w:t>家长签名：</w:t>
            </w:r>
            <w:r>
              <w:rPr>
                <w:rFonts w:ascii="宋体" w:hAnsi="宋体" w:eastAsia="宋体" w:cs="宋体"/>
                <w:spacing w:val="6"/>
                <w:sz w:val="24"/>
                <w:szCs w:val="24"/>
              </w:rPr>
              <w:t xml:space="preserve">                </w:t>
            </w:r>
            <w:r>
              <w:rPr>
                <w:rFonts w:ascii="宋体" w:hAnsi="宋体" w:eastAsia="宋体" w:cs="宋体"/>
                <w:spacing w:val="5"/>
                <w:sz w:val="24"/>
                <w:szCs w:val="24"/>
              </w:rPr>
              <w:t>学生签名：</w:t>
            </w:r>
          </w:p>
        </w:tc>
      </w:tr>
      <w:tr w14:paraId="11B0D8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1664" w:type="dxa"/>
            <w:gridSpan w:val="2"/>
            <w:vAlign w:val="top"/>
          </w:tcPr>
          <w:p w14:paraId="17709659">
            <w:pPr>
              <w:pStyle w:val="7"/>
              <w:spacing w:line="243" w:lineRule="auto"/>
            </w:pPr>
          </w:p>
          <w:p w14:paraId="2834FDAA">
            <w:pPr>
              <w:pStyle w:val="7"/>
              <w:spacing w:line="243" w:lineRule="auto"/>
            </w:pPr>
          </w:p>
          <w:p w14:paraId="170D5FBA">
            <w:pPr>
              <w:pStyle w:val="7"/>
              <w:spacing w:line="244" w:lineRule="auto"/>
            </w:pPr>
          </w:p>
          <w:p w14:paraId="3CF4BE94">
            <w:pPr>
              <w:spacing w:before="78" w:line="228" w:lineRule="auto"/>
              <w:ind w:left="344"/>
              <w:rPr>
                <w:rFonts w:ascii="宋体" w:hAnsi="宋体" w:eastAsia="宋体" w:cs="宋体"/>
                <w:sz w:val="24"/>
                <w:szCs w:val="24"/>
              </w:rPr>
            </w:pPr>
            <w:r>
              <w:rPr>
                <w:rFonts w:ascii="宋体" w:hAnsi="宋体" w:eastAsia="宋体" w:cs="宋体"/>
                <w:spacing w:val="6"/>
                <w:sz w:val="24"/>
                <w:szCs w:val="24"/>
              </w:rPr>
              <w:t>学生表现</w:t>
            </w:r>
          </w:p>
        </w:tc>
        <w:tc>
          <w:tcPr>
            <w:tcW w:w="7594" w:type="dxa"/>
            <w:gridSpan w:val="10"/>
            <w:vAlign w:val="top"/>
          </w:tcPr>
          <w:p w14:paraId="0293E5C3">
            <w:pPr>
              <w:pStyle w:val="7"/>
              <w:spacing w:line="270" w:lineRule="auto"/>
            </w:pPr>
          </w:p>
          <w:p w14:paraId="4C627B30">
            <w:pPr>
              <w:pStyle w:val="7"/>
              <w:spacing w:line="270" w:lineRule="auto"/>
            </w:pPr>
          </w:p>
          <w:p w14:paraId="44B7AED6">
            <w:pPr>
              <w:pStyle w:val="7"/>
              <w:spacing w:line="270" w:lineRule="auto"/>
            </w:pPr>
          </w:p>
          <w:p w14:paraId="445D9EE1">
            <w:pPr>
              <w:pStyle w:val="7"/>
              <w:spacing w:line="270" w:lineRule="auto"/>
            </w:pPr>
          </w:p>
          <w:p w14:paraId="10A55F87">
            <w:pPr>
              <w:spacing w:before="78" w:line="227" w:lineRule="auto"/>
              <w:ind w:left="3990"/>
              <w:rPr>
                <w:rFonts w:ascii="宋体" w:hAnsi="宋体" w:eastAsia="宋体" w:cs="宋体"/>
                <w:sz w:val="24"/>
                <w:szCs w:val="24"/>
              </w:rPr>
            </w:pPr>
            <w:r>
              <w:rPr>
                <w:rFonts w:ascii="宋体" w:hAnsi="宋体" w:eastAsia="宋体" w:cs="宋体"/>
                <w:spacing w:val="6"/>
                <w:sz w:val="24"/>
                <w:szCs w:val="24"/>
              </w:rPr>
              <w:t>辅导员意见：</w:t>
            </w:r>
          </w:p>
        </w:tc>
      </w:tr>
      <w:tr w14:paraId="0B9F7F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9" w:hRule="atLeast"/>
        </w:trPr>
        <w:tc>
          <w:tcPr>
            <w:tcW w:w="1664" w:type="dxa"/>
            <w:gridSpan w:val="2"/>
            <w:vAlign w:val="top"/>
          </w:tcPr>
          <w:p w14:paraId="12D6F05F">
            <w:pPr>
              <w:pStyle w:val="7"/>
              <w:spacing w:line="256" w:lineRule="auto"/>
            </w:pPr>
          </w:p>
          <w:p w14:paraId="5C3E9792">
            <w:pPr>
              <w:pStyle w:val="7"/>
              <w:spacing w:line="256" w:lineRule="auto"/>
            </w:pPr>
          </w:p>
          <w:p w14:paraId="67F414EA">
            <w:pPr>
              <w:spacing w:before="78" w:line="465" w:lineRule="auto"/>
              <w:ind w:left="595" w:right="330" w:hanging="255"/>
              <w:rPr>
                <w:rFonts w:ascii="宋体" w:hAnsi="宋体" w:eastAsia="宋体" w:cs="宋体"/>
                <w:sz w:val="24"/>
                <w:szCs w:val="24"/>
              </w:rPr>
            </w:pPr>
            <w:r>
              <w:rPr>
                <w:rFonts w:ascii="宋体" w:hAnsi="宋体" w:eastAsia="宋体" w:cs="宋体"/>
                <w:spacing w:val="7"/>
                <w:sz w:val="24"/>
                <w:szCs w:val="24"/>
              </w:rPr>
              <w:t>转出学院</w:t>
            </w:r>
            <w:r>
              <w:rPr>
                <w:rFonts w:ascii="宋体" w:hAnsi="宋体" w:eastAsia="宋体" w:cs="宋体"/>
                <w:sz w:val="24"/>
                <w:szCs w:val="24"/>
              </w:rPr>
              <w:t xml:space="preserve"> </w:t>
            </w:r>
            <w:r>
              <w:rPr>
                <w:rFonts w:ascii="宋体" w:hAnsi="宋体" w:eastAsia="宋体" w:cs="宋体"/>
                <w:spacing w:val="1"/>
                <w:sz w:val="24"/>
                <w:szCs w:val="24"/>
              </w:rPr>
              <w:t>意见</w:t>
            </w:r>
          </w:p>
        </w:tc>
        <w:tc>
          <w:tcPr>
            <w:tcW w:w="3124" w:type="dxa"/>
            <w:gridSpan w:val="4"/>
            <w:vAlign w:val="top"/>
          </w:tcPr>
          <w:p w14:paraId="2655AE73">
            <w:pPr>
              <w:pStyle w:val="7"/>
            </w:pPr>
          </w:p>
          <w:p w14:paraId="158EC134">
            <w:pPr>
              <w:pStyle w:val="7"/>
            </w:pPr>
          </w:p>
          <w:p w14:paraId="4BAF780D">
            <w:pPr>
              <w:pStyle w:val="7"/>
            </w:pPr>
          </w:p>
          <w:p w14:paraId="7AACE6C3">
            <w:pPr>
              <w:pStyle w:val="7"/>
            </w:pPr>
          </w:p>
          <w:p w14:paraId="366E8B4E">
            <w:pPr>
              <w:pStyle w:val="7"/>
              <w:spacing w:line="241" w:lineRule="auto"/>
            </w:pPr>
          </w:p>
          <w:p w14:paraId="2494C0FC">
            <w:pPr>
              <w:pStyle w:val="7"/>
              <w:spacing w:line="241" w:lineRule="auto"/>
            </w:pPr>
          </w:p>
          <w:p w14:paraId="33928461">
            <w:pPr>
              <w:spacing w:before="78" w:line="226" w:lineRule="auto"/>
              <w:ind w:left="1955"/>
              <w:rPr>
                <w:rFonts w:ascii="宋体" w:hAnsi="宋体" w:eastAsia="宋体" w:cs="宋体"/>
                <w:sz w:val="24"/>
                <w:szCs w:val="24"/>
              </w:rPr>
            </w:pPr>
            <w:r>
              <w:rPr>
                <w:rFonts w:ascii="宋体" w:hAnsi="宋体" w:eastAsia="宋体" w:cs="宋体"/>
                <w:spacing w:val="1"/>
                <w:sz w:val="24"/>
                <w:szCs w:val="24"/>
              </w:rPr>
              <w:t>（盖章）</w:t>
            </w:r>
          </w:p>
        </w:tc>
        <w:tc>
          <w:tcPr>
            <w:tcW w:w="1406" w:type="dxa"/>
            <w:gridSpan w:val="3"/>
            <w:vAlign w:val="top"/>
          </w:tcPr>
          <w:p w14:paraId="62231280">
            <w:pPr>
              <w:pStyle w:val="7"/>
              <w:spacing w:line="256" w:lineRule="auto"/>
            </w:pPr>
          </w:p>
          <w:p w14:paraId="69F0C96B">
            <w:pPr>
              <w:pStyle w:val="7"/>
              <w:spacing w:line="256" w:lineRule="auto"/>
            </w:pPr>
          </w:p>
          <w:p w14:paraId="581F1C1B">
            <w:pPr>
              <w:spacing w:before="78" w:line="465" w:lineRule="auto"/>
              <w:ind w:left="467" w:right="202" w:hanging="257"/>
              <w:rPr>
                <w:rFonts w:ascii="宋体" w:hAnsi="宋体" w:eastAsia="宋体" w:cs="宋体"/>
                <w:sz w:val="24"/>
                <w:szCs w:val="24"/>
              </w:rPr>
            </w:pPr>
            <w:r>
              <w:rPr>
                <w:rFonts w:ascii="宋体" w:hAnsi="宋体" w:eastAsia="宋体" w:cs="宋体"/>
                <w:spacing w:val="7"/>
                <w:sz w:val="24"/>
                <w:szCs w:val="24"/>
              </w:rPr>
              <w:t>转入学院</w:t>
            </w:r>
            <w:r>
              <w:rPr>
                <w:rFonts w:ascii="宋体" w:hAnsi="宋体" w:eastAsia="宋体" w:cs="宋体"/>
                <w:sz w:val="24"/>
                <w:szCs w:val="24"/>
              </w:rPr>
              <w:t xml:space="preserve"> </w:t>
            </w:r>
            <w:r>
              <w:rPr>
                <w:rFonts w:ascii="宋体" w:hAnsi="宋体" w:eastAsia="宋体" w:cs="宋体"/>
                <w:spacing w:val="1"/>
                <w:sz w:val="24"/>
                <w:szCs w:val="24"/>
              </w:rPr>
              <w:t>意见</w:t>
            </w:r>
          </w:p>
        </w:tc>
        <w:tc>
          <w:tcPr>
            <w:tcW w:w="3064" w:type="dxa"/>
            <w:gridSpan w:val="3"/>
            <w:vAlign w:val="top"/>
          </w:tcPr>
          <w:p w14:paraId="5272D07B">
            <w:pPr>
              <w:pStyle w:val="7"/>
            </w:pPr>
          </w:p>
          <w:p w14:paraId="16BB778A">
            <w:pPr>
              <w:pStyle w:val="7"/>
            </w:pPr>
          </w:p>
          <w:p w14:paraId="09F09C47">
            <w:pPr>
              <w:pStyle w:val="7"/>
            </w:pPr>
          </w:p>
          <w:p w14:paraId="2F63E04F">
            <w:pPr>
              <w:pStyle w:val="7"/>
            </w:pPr>
          </w:p>
          <w:p w14:paraId="535B9D77">
            <w:pPr>
              <w:pStyle w:val="7"/>
              <w:spacing w:line="241" w:lineRule="auto"/>
            </w:pPr>
          </w:p>
          <w:p w14:paraId="19145CF3">
            <w:pPr>
              <w:pStyle w:val="7"/>
              <w:spacing w:line="241" w:lineRule="auto"/>
            </w:pPr>
          </w:p>
          <w:p w14:paraId="3C0D593F">
            <w:pPr>
              <w:spacing w:before="78" w:line="226" w:lineRule="auto"/>
              <w:ind w:left="1676"/>
              <w:rPr>
                <w:rFonts w:ascii="宋体" w:hAnsi="宋体" w:eastAsia="宋体" w:cs="宋体"/>
                <w:sz w:val="24"/>
                <w:szCs w:val="24"/>
              </w:rPr>
            </w:pPr>
            <w:r>
              <w:rPr>
                <w:rFonts w:ascii="宋体" w:hAnsi="宋体" w:eastAsia="宋体" w:cs="宋体"/>
                <w:spacing w:val="1"/>
                <w:sz w:val="24"/>
                <w:szCs w:val="24"/>
              </w:rPr>
              <w:t>（盖章）</w:t>
            </w:r>
          </w:p>
        </w:tc>
      </w:tr>
      <w:tr w14:paraId="59A31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7" w:hRule="atLeast"/>
        </w:trPr>
        <w:tc>
          <w:tcPr>
            <w:tcW w:w="1664" w:type="dxa"/>
            <w:gridSpan w:val="2"/>
            <w:vAlign w:val="top"/>
          </w:tcPr>
          <w:p w14:paraId="5EB9835E">
            <w:pPr>
              <w:pStyle w:val="7"/>
              <w:spacing w:line="261" w:lineRule="auto"/>
            </w:pPr>
          </w:p>
          <w:p w14:paraId="78E3C884">
            <w:pPr>
              <w:pStyle w:val="7"/>
              <w:spacing w:line="262" w:lineRule="auto"/>
            </w:pPr>
          </w:p>
          <w:p w14:paraId="22A067BE">
            <w:pPr>
              <w:spacing w:before="78" w:line="227" w:lineRule="auto"/>
              <w:ind w:left="219"/>
              <w:rPr>
                <w:rFonts w:ascii="宋体" w:hAnsi="宋体" w:eastAsia="宋体" w:cs="宋体"/>
                <w:sz w:val="24"/>
                <w:szCs w:val="24"/>
              </w:rPr>
            </w:pPr>
            <w:r>
              <w:rPr>
                <w:rFonts w:ascii="宋体" w:hAnsi="宋体" w:eastAsia="宋体" w:cs="宋体"/>
                <w:spacing w:val="7"/>
                <w:sz w:val="24"/>
                <w:szCs w:val="24"/>
              </w:rPr>
              <w:t>学工部意见</w:t>
            </w:r>
          </w:p>
        </w:tc>
        <w:tc>
          <w:tcPr>
            <w:tcW w:w="7594" w:type="dxa"/>
            <w:gridSpan w:val="10"/>
            <w:vAlign w:val="top"/>
          </w:tcPr>
          <w:p w14:paraId="63A1D372">
            <w:pPr>
              <w:pStyle w:val="7"/>
              <w:spacing w:line="312" w:lineRule="auto"/>
            </w:pPr>
          </w:p>
          <w:p w14:paraId="22A16AA0">
            <w:pPr>
              <w:pStyle w:val="7"/>
              <w:spacing w:line="312" w:lineRule="auto"/>
            </w:pPr>
          </w:p>
          <w:p w14:paraId="07AE470E">
            <w:pPr>
              <w:pStyle w:val="7"/>
              <w:spacing w:line="312" w:lineRule="auto"/>
            </w:pPr>
          </w:p>
          <w:p w14:paraId="4B96D934">
            <w:pPr>
              <w:spacing w:before="78" w:line="226" w:lineRule="auto"/>
              <w:ind w:left="6126"/>
              <w:rPr>
                <w:rFonts w:ascii="宋体" w:hAnsi="宋体" w:eastAsia="宋体" w:cs="宋体"/>
                <w:sz w:val="24"/>
                <w:szCs w:val="24"/>
              </w:rPr>
            </w:pPr>
            <w:r>
              <w:rPr>
                <w:rFonts w:ascii="宋体" w:hAnsi="宋体" w:eastAsia="宋体" w:cs="宋体"/>
                <w:spacing w:val="1"/>
                <w:sz w:val="24"/>
                <w:szCs w:val="24"/>
              </w:rPr>
              <w:t>（盖章）</w:t>
            </w:r>
          </w:p>
        </w:tc>
      </w:tr>
      <w:tr w14:paraId="2AB4A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1664" w:type="dxa"/>
            <w:gridSpan w:val="2"/>
            <w:vAlign w:val="top"/>
          </w:tcPr>
          <w:p w14:paraId="5A050802">
            <w:pPr>
              <w:pStyle w:val="7"/>
              <w:spacing w:line="292" w:lineRule="auto"/>
            </w:pPr>
          </w:p>
          <w:p w14:paraId="3B7ECE28">
            <w:pPr>
              <w:pStyle w:val="7"/>
              <w:spacing w:line="292" w:lineRule="auto"/>
            </w:pPr>
          </w:p>
          <w:p w14:paraId="1BDBB719">
            <w:pPr>
              <w:spacing w:before="78" w:line="228" w:lineRule="auto"/>
              <w:ind w:left="344"/>
              <w:rPr>
                <w:rFonts w:ascii="宋体" w:hAnsi="宋体" w:eastAsia="宋体" w:cs="宋体"/>
                <w:sz w:val="24"/>
                <w:szCs w:val="24"/>
              </w:rPr>
            </w:pPr>
            <w:r>
              <w:rPr>
                <w:rFonts w:ascii="宋体" w:hAnsi="宋体" w:eastAsia="宋体" w:cs="宋体"/>
                <w:spacing w:val="6"/>
                <w:sz w:val="24"/>
                <w:szCs w:val="24"/>
              </w:rPr>
              <w:t>学校审批</w:t>
            </w:r>
          </w:p>
        </w:tc>
        <w:tc>
          <w:tcPr>
            <w:tcW w:w="7594" w:type="dxa"/>
            <w:gridSpan w:val="10"/>
            <w:vAlign w:val="top"/>
          </w:tcPr>
          <w:p w14:paraId="498E49C9">
            <w:pPr>
              <w:pStyle w:val="7"/>
              <w:spacing w:line="262" w:lineRule="auto"/>
            </w:pPr>
          </w:p>
          <w:p w14:paraId="58E724B4">
            <w:pPr>
              <w:pStyle w:val="7"/>
              <w:spacing w:line="262" w:lineRule="auto"/>
            </w:pPr>
          </w:p>
          <w:p w14:paraId="2D5B76FB">
            <w:pPr>
              <w:pStyle w:val="7"/>
              <w:spacing w:line="263" w:lineRule="auto"/>
            </w:pPr>
          </w:p>
          <w:p w14:paraId="602451AA">
            <w:pPr>
              <w:spacing w:before="78" w:line="227" w:lineRule="auto"/>
              <w:ind w:left="5489"/>
              <w:rPr>
                <w:rFonts w:ascii="宋体" w:hAnsi="宋体" w:eastAsia="宋体" w:cs="宋体"/>
                <w:sz w:val="24"/>
                <w:szCs w:val="24"/>
              </w:rPr>
            </w:pPr>
            <w:r>
              <w:rPr>
                <w:rFonts w:ascii="宋体" w:hAnsi="宋体" w:eastAsia="宋体" w:cs="宋体"/>
                <w:spacing w:val="-3"/>
                <w:sz w:val="24"/>
                <w:szCs w:val="24"/>
              </w:rPr>
              <w:t>年</w:t>
            </w:r>
            <w:r>
              <w:rPr>
                <w:rFonts w:ascii="宋体" w:hAnsi="宋体" w:eastAsia="宋体" w:cs="宋体"/>
                <w:spacing w:val="9"/>
                <w:sz w:val="24"/>
                <w:szCs w:val="24"/>
              </w:rPr>
              <w:t xml:space="preserve">    </w:t>
            </w:r>
            <w:r>
              <w:rPr>
                <w:rFonts w:ascii="宋体" w:hAnsi="宋体" w:eastAsia="宋体" w:cs="宋体"/>
                <w:spacing w:val="-3"/>
                <w:sz w:val="24"/>
                <w:szCs w:val="24"/>
              </w:rPr>
              <w:t>月</w:t>
            </w:r>
            <w:r>
              <w:rPr>
                <w:rFonts w:ascii="宋体" w:hAnsi="宋体" w:eastAsia="宋体" w:cs="宋体"/>
                <w:spacing w:val="18"/>
                <w:sz w:val="24"/>
                <w:szCs w:val="24"/>
              </w:rPr>
              <w:t xml:space="preserve">    </w:t>
            </w:r>
            <w:r>
              <w:rPr>
                <w:rFonts w:ascii="宋体" w:hAnsi="宋体" w:eastAsia="宋体" w:cs="宋体"/>
                <w:spacing w:val="-3"/>
                <w:sz w:val="24"/>
                <w:szCs w:val="24"/>
              </w:rPr>
              <w:t>日</w:t>
            </w:r>
          </w:p>
        </w:tc>
      </w:tr>
    </w:tbl>
    <w:p w14:paraId="138773D1">
      <w:pPr>
        <w:spacing w:before="101" w:line="230" w:lineRule="auto"/>
        <w:ind w:left="672"/>
        <w:rPr>
          <w:rFonts w:ascii="黑体" w:hAnsi="黑体" w:eastAsia="黑体" w:cs="黑体"/>
          <w:spacing w:val="-4"/>
          <w:sz w:val="31"/>
          <w:szCs w:val="31"/>
        </w:rPr>
      </w:pPr>
    </w:p>
    <w:p w14:paraId="3E5AC4D5">
      <w:pPr>
        <w:spacing w:before="101" w:line="230" w:lineRule="auto"/>
        <w:ind w:left="672"/>
        <w:rPr>
          <w:rFonts w:ascii="黑体" w:hAnsi="黑体" w:eastAsia="黑体" w:cs="黑体"/>
          <w:spacing w:val="-4"/>
          <w:sz w:val="31"/>
          <w:szCs w:val="31"/>
        </w:rPr>
        <w:sectPr>
          <w:footerReference r:id="rId5" w:type="default"/>
          <w:pgSz w:w="11900" w:h="16830"/>
          <w:pgMar w:top="1430" w:right="1034" w:bottom="1071" w:left="1033" w:header="0" w:footer="909" w:gutter="0"/>
          <w:cols w:space="720" w:num="1"/>
        </w:sectPr>
      </w:pPr>
    </w:p>
    <w:p w14:paraId="3C58545A">
      <w:pPr>
        <w:spacing w:before="101" w:line="230" w:lineRule="auto"/>
        <w:ind w:left="672"/>
        <w:rPr>
          <w:rFonts w:hint="eastAsia" w:ascii="黑体" w:hAnsi="黑体" w:eastAsia="黑体" w:cs="黑体"/>
          <w:sz w:val="31"/>
          <w:szCs w:val="31"/>
          <w:lang w:eastAsia="zh-CN"/>
        </w:rPr>
      </w:pPr>
      <w:r>
        <w:rPr>
          <w:rFonts w:ascii="黑体" w:hAnsi="黑体" w:eastAsia="黑体" w:cs="黑体"/>
          <w:spacing w:val="-4"/>
          <w:sz w:val="31"/>
          <w:szCs w:val="31"/>
        </w:rPr>
        <w:t>附件</w:t>
      </w:r>
      <w:r>
        <w:rPr>
          <w:rFonts w:ascii="黑体" w:hAnsi="黑体" w:eastAsia="黑体" w:cs="黑体"/>
          <w:spacing w:val="-61"/>
          <w:sz w:val="31"/>
          <w:szCs w:val="31"/>
        </w:rPr>
        <w:t xml:space="preserve"> </w:t>
      </w:r>
      <w:r>
        <w:rPr>
          <w:rFonts w:hint="eastAsia" w:ascii="黑体" w:hAnsi="黑体" w:eastAsia="黑体" w:cs="黑体"/>
          <w:spacing w:val="-4"/>
          <w:sz w:val="31"/>
          <w:szCs w:val="31"/>
          <w:lang w:val="en-US" w:eastAsia="zh-CN"/>
        </w:rPr>
        <w:t>2</w:t>
      </w:r>
    </w:p>
    <w:p w14:paraId="2B965383">
      <w:pPr>
        <w:spacing w:before="307" w:line="445" w:lineRule="exact"/>
        <w:ind w:left="3296"/>
        <w:rPr>
          <w:rFonts w:ascii="微软雅黑" w:hAnsi="微软雅黑" w:eastAsia="微软雅黑" w:cs="微软雅黑"/>
          <w:sz w:val="44"/>
          <w:szCs w:val="44"/>
        </w:rPr>
      </w:pPr>
      <w:r>
        <w:rPr>
          <w:rFonts w:ascii="微软雅黑" w:hAnsi="微软雅黑" w:eastAsia="微软雅黑" w:cs="微软雅黑"/>
          <w:spacing w:val="-1"/>
          <w:position w:val="-2"/>
          <w:sz w:val="44"/>
          <w:szCs w:val="44"/>
        </w:rPr>
        <w:t>河南信息统计职业学院学生转专业汇总表</w:t>
      </w:r>
    </w:p>
    <w:p w14:paraId="284803B2">
      <w:pPr>
        <w:spacing w:before="61"/>
      </w:pPr>
    </w:p>
    <w:p w14:paraId="181AA5C2">
      <w:pPr>
        <w:spacing w:before="61"/>
      </w:pPr>
    </w:p>
    <w:tbl>
      <w:tblPr>
        <w:tblStyle w:val="6"/>
        <w:tblW w:w="147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6"/>
        <w:gridCol w:w="1275"/>
        <w:gridCol w:w="2653"/>
        <w:gridCol w:w="1672"/>
        <w:gridCol w:w="1093"/>
        <w:gridCol w:w="1661"/>
        <w:gridCol w:w="2292"/>
        <w:gridCol w:w="2140"/>
        <w:gridCol w:w="921"/>
      </w:tblGrid>
      <w:tr w14:paraId="346E4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006" w:type="dxa"/>
            <w:vAlign w:val="top"/>
          </w:tcPr>
          <w:p w14:paraId="4CB0680A">
            <w:pPr>
              <w:spacing w:before="213" w:line="227" w:lineRule="auto"/>
              <w:ind w:left="238"/>
              <w:rPr>
                <w:rFonts w:ascii="宋体" w:hAnsi="宋体" w:eastAsia="宋体" w:cs="宋体"/>
                <w:sz w:val="26"/>
                <w:szCs w:val="26"/>
              </w:rPr>
            </w:pPr>
            <w:r>
              <w:rPr>
                <w:rFonts w:ascii="宋体" w:hAnsi="宋体" w:eastAsia="宋体" w:cs="宋体"/>
                <w:b/>
                <w:bCs/>
                <w:spacing w:val="2"/>
                <w:sz w:val="26"/>
                <w:szCs w:val="26"/>
              </w:rPr>
              <w:t>序号</w:t>
            </w:r>
          </w:p>
        </w:tc>
        <w:tc>
          <w:tcPr>
            <w:tcW w:w="1275" w:type="dxa"/>
            <w:vAlign w:val="top"/>
          </w:tcPr>
          <w:p w14:paraId="07BBF3DF">
            <w:pPr>
              <w:spacing w:before="212" w:line="226" w:lineRule="auto"/>
              <w:ind w:left="371"/>
              <w:rPr>
                <w:rFonts w:ascii="宋体" w:hAnsi="宋体" w:eastAsia="宋体" w:cs="宋体"/>
                <w:sz w:val="26"/>
                <w:szCs w:val="26"/>
              </w:rPr>
            </w:pPr>
            <w:r>
              <w:rPr>
                <w:rFonts w:ascii="宋体" w:hAnsi="宋体" w:eastAsia="宋体" w:cs="宋体"/>
                <w:b/>
                <w:bCs/>
                <w:spacing w:val="2"/>
                <w:sz w:val="26"/>
                <w:szCs w:val="26"/>
              </w:rPr>
              <w:t>姓名</w:t>
            </w:r>
          </w:p>
        </w:tc>
        <w:tc>
          <w:tcPr>
            <w:tcW w:w="2653" w:type="dxa"/>
            <w:vAlign w:val="top"/>
          </w:tcPr>
          <w:p w14:paraId="4E79D043">
            <w:pPr>
              <w:spacing w:before="212" w:line="226" w:lineRule="auto"/>
              <w:ind w:left="798"/>
              <w:rPr>
                <w:rFonts w:ascii="宋体" w:hAnsi="宋体" w:eastAsia="宋体" w:cs="宋体"/>
                <w:sz w:val="26"/>
                <w:szCs w:val="26"/>
              </w:rPr>
            </w:pPr>
            <w:r>
              <w:rPr>
                <w:rFonts w:ascii="宋体" w:hAnsi="宋体" w:eastAsia="宋体" w:cs="宋体"/>
                <w:b/>
                <w:bCs/>
                <w:spacing w:val="3"/>
                <w:sz w:val="26"/>
                <w:szCs w:val="26"/>
              </w:rPr>
              <w:t>身份证号</w:t>
            </w:r>
          </w:p>
        </w:tc>
        <w:tc>
          <w:tcPr>
            <w:tcW w:w="1672" w:type="dxa"/>
            <w:vAlign w:val="top"/>
          </w:tcPr>
          <w:p w14:paraId="717A0E58">
            <w:pPr>
              <w:spacing w:before="212" w:line="226" w:lineRule="auto"/>
              <w:ind w:left="302"/>
              <w:rPr>
                <w:rFonts w:ascii="宋体" w:hAnsi="宋体" w:eastAsia="宋体" w:cs="宋体"/>
                <w:sz w:val="26"/>
                <w:szCs w:val="26"/>
              </w:rPr>
            </w:pPr>
            <w:r>
              <w:rPr>
                <w:rFonts w:ascii="宋体" w:hAnsi="宋体" w:eastAsia="宋体" w:cs="宋体"/>
                <w:b/>
                <w:bCs/>
                <w:spacing w:val="4"/>
                <w:sz w:val="26"/>
                <w:szCs w:val="26"/>
              </w:rPr>
              <w:t>就读专业</w:t>
            </w:r>
          </w:p>
        </w:tc>
        <w:tc>
          <w:tcPr>
            <w:tcW w:w="1093" w:type="dxa"/>
            <w:vAlign w:val="top"/>
          </w:tcPr>
          <w:p w14:paraId="620A75F6">
            <w:pPr>
              <w:spacing w:before="213" w:line="227" w:lineRule="auto"/>
              <w:ind w:left="283"/>
              <w:rPr>
                <w:rFonts w:ascii="宋体" w:hAnsi="宋体" w:eastAsia="宋体" w:cs="宋体"/>
                <w:sz w:val="26"/>
                <w:szCs w:val="26"/>
              </w:rPr>
            </w:pPr>
            <w:r>
              <w:rPr>
                <w:rFonts w:ascii="宋体" w:hAnsi="宋体" w:eastAsia="宋体" w:cs="宋体"/>
                <w:b/>
                <w:bCs/>
                <w:spacing w:val="2"/>
                <w:sz w:val="26"/>
                <w:szCs w:val="26"/>
              </w:rPr>
              <w:t>班级</w:t>
            </w:r>
          </w:p>
        </w:tc>
        <w:tc>
          <w:tcPr>
            <w:tcW w:w="1661" w:type="dxa"/>
            <w:vAlign w:val="top"/>
          </w:tcPr>
          <w:p w14:paraId="2555E043">
            <w:pPr>
              <w:spacing w:before="212" w:line="226" w:lineRule="auto"/>
              <w:ind w:left="297"/>
              <w:rPr>
                <w:rFonts w:ascii="宋体" w:hAnsi="宋体" w:eastAsia="宋体" w:cs="宋体"/>
                <w:sz w:val="26"/>
                <w:szCs w:val="26"/>
              </w:rPr>
            </w:pPr>
            <w:r>
              <w:rPr>
                <w:rFonts w:ascii="宋体" w:hAnsi="宋体" w:eastAsia="宋体" w:cs="宋体"/>
                <w:b/>
                <w:bCs/>
                <w:spacing w:val="5"/>
                <w:sz w:val="26"/>
                <w:szCs w:val="26"/>
              </w:rPr>
              <w:t>考生类型</w:t>
            </w:r>
          </w:p>
        </w:tc>
        <w:tc>
          <w:tcPr>
            <w:tcW w:w="2292" w:type="dxa"/>
            <w:vAlign w:val="top"/>
          </w:tcPr>
          <w:p w14:paraId="374D2DD6">
            <w:pPr>
              <w:spacing w:before="213" w:line="225" w:lineRule="auto"/>
              <w:ind w:left="477"/>
              <w:rPr>
                <w:rFonts w:ascii="宋体" w:hAnsi="宋体" w:eastAsia="宋体" w:cs="宋体"/>
                <w:sz w:val="26"/>
                <w:szCs w:val="26"/>
              </w:rPr>
            </w:pPr>
            <w:r>
              <w:rPr>
                <w:rFonts w:ascii="宋体" w:hAnsi="宋体" w:eastAsia="宋体" w:cs="宋体"/>
                <w:b/>
                <w:bCs/>
                <w:spacing w:val="5"/>
                <w:sz w:val="26"/>
                <w:szCs w:val="26"/>
              </w:rPr>
              <w:t>拟转入专业</w:t>
            </w:r>
          </w:p>
        </w:tc>
        <w:tc>
          <w:tcPr>
            <w:tcW w:w="2140" w:type="dxa"/>
            <w:vAlign w:val="top"/>
          </w:tcPr>
          <w:p w14:paraId="0FF3131B">
            <w:pPr>
              <w:spacing w:before="213" w:line="227" w:lineRule="auto"/>
              <w:ind w:left="542"/>
              <w:rPr>
                <w:rFonts w:ascii="宋体" w:hAnsi="宋体" w:eastAsia="宋体" w:cs="宋体"/>
                <w:sz w:val="26"/>
                <w:szCs w:val="26"/>
              </w:rPr>
            </w:pPr>
            <w:r>
              <w:rPr>
                <w:rFonts w:ascii="宋体" w:hAnsi="宋体" w:eastAsia="宋体" w:cs="宋体"/>
                <w:b/>
                <w:bCs/>
                <w:spacing w:val="3"/>
                <w:sz w:val="26"/>
                <w:szCs w:val="26"/>
              </w:rPr>
              <w:t>学生电话</w:t>
            </w:r>
          </w:p>
        </w:tc>
        <w:tc>
          <w:tcPr>
            <w:tcW w:w="921" w:type="dxa"/>
            <w:vAlign w:val="top"/>
          </w:tcPr>
          <w:p w14:paraId="41AF58D6">
            <w:pPr>
              <w:spacing w:before="213" w:line="227" w:lineRule="auto"/>
              <w:ind w:left="200"/>
              <w:rPr>
                <w:rFonts w:ascii="宋体" w:hAnsi="宋体" w:eastAsia="宋体" w:cs="宋体"/>
                <w:sz w:val="26"/>
                <w:szCs w:val="26"/>
              </w:rPr>
            </w:pPr>
            <w:r>
              <w:rPr>
                <w:rFonts w:ascii="宋体" w:hAnsi="宋体" w:eastAsia="宋体" w:cs="宋体"/>
                <w:b/>
                <w:bCs/>
                <w:sz w:val="26"/>
                <w:szCs w:val="26"/>
              </w:rPr>
              <w:t>备注</w:t>
            </w:r>
          </w:p>
        </w:tc>
      </w:tr>
      <w:tr w14:paraId="6DBB4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1006" w:type="dxa"/>
            <w:vAlign w:val="top"/>
          </w:tcPr>
          <w:p w14:paraId="04F333CA">
            <w:pPr>
              <w:pStyle w:val="7"/>
            </w:pPr>
          </w:p>
        </w:tc>
        <w:tc>
          <w:tcPr>
            <w:tcW w:w="1275" w:type="dxa"/>
            <w:vAlign w:val="top"/>
          </w:tcPr>
          <w:p w14:paraId="3223003F">
            <w:pPr>
              <w:pStyle w:val="7"/>
            </w:pPr>
          </w:p>
        </w:tc>
        <w:tc>
          <w:tcPr>
            <w:tcW w:w="2653" w:type="dxa"/>
            <w:vAlign w:val="top"/>
          </w:tcPr>
          <w:p w14:paraId="7DEAAE9D">
            <w:pPr>
              <w:pStyle w:val="7"/>
            </w:pPr>
          </w:p>
        </w:tc>
        <w:tc>
          <w:tcPr>
            <w:tcW w:w="1672" w:type="dxa"/>
            <w:vAlign w:val="top"/>
          </w:tcPr>
          <w:p w14:paraId="72840980">
            <w:pPr>
              <w:pStyle w:val="7"/>
            </w:pPr>
          </w:p>
        </w:tc>
        <w:tc>
          <w:tcPr>
            <w:tcW w:w="1093" w:type="dxa"/>
            <w:vAlign w:val="top"/>
          </w:tcPr>
          <w:p w14:paraId="1F4BDFBE">
            <w:pPr>
              <w:pStyle w:val="7"/>
            </w:pPr>
          </w:p>
        </w:tc>
        <w:tc>
          <w:tcPr>
            <w:tcW w:w="1661" w:type="dxa"/>
            <w:vAlign w:val="top"/>
          </w:tcPr>
          <w:p w14:paraId="5F7798D9">
            <w:pPr>
              <w:pStyle w:val="7"/>
            </w:pPr>
          </w:p>
        </w:tc>
        <w:tc>
          <w:tcPr>
            <w:tcW w:w="2292" w:type="dxa"/>
            <w:vAlign w:val="top"/>
          </w:tcPr>
          <w:p w14:paraId="6FBCD510">
            <w:pPr>
              <w:pStyle w:val="7"/>
            </w:pPr>
          </w:p>
        </w:tc>
        <w:tc>
          <w:tcPr>
            <w:tcW w:w="2140" w:type="dxa"/>
            <w:vAlign w:val="top"/>
          </w:tcPr>
          <w:p w14:paraId="36C278F4">
            <w:pPr>
              <w:pStyle w:val="7"/>
            </w:pPr>
          </w:p>
        </w:tc>
        <w:tc>
          <w:tcPr>
            <w:tcW w:w="921" w:type="dxa"/>
            <w:vAlign w:val="top"/>
          </w:tcPr>
          <w:p w14:paraId="0FD5A68A">
            <w:pPr>
              <w:pStyle w:val="7"/>
            </w:pPr>
          </w:p>
        </w:tc>
      </w:tr>
      <w:tr w14:paraId="34AABF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006" w:type="dxa"/>
            <w:vAlign w:val="top"/>
          </w:tcPr>
          <w:p w14:paraId="258A337C">
            <w:pPr>
              <w:pStyle w:val="7"/>
            </w:pPr>
          </w:p>
        </w:tc>
        <w:tc>
          <w:tcPr>
            <w:tcW w:w="1275" w:type="dxa"/>
            <w:vAlign w:val="top"/>
          </w:tcPr>
          <w:p w14:paraId="26E4AD5A">
            <w:pPr>
              <w:pStyle w:val="7"/>
            </w:pPr>
          </w:p>
        </w:tc>
        <w:tc>
          <w:tcPr>
            <w:tcW w:w="2653" w:type="dxa"/>
            <w:vAlign w:val="top"/>
          </w:tcPr>
          <w:p w14:paraId="3A6F9B45">
            <w:pPr>
              <w:pStyle w:val="7"/>
            </w:pPr>
          </w:p>
        </w:tc>
        <w:tc>
          <w:tcPr>
            <w:tcW w:w="1672" w:type="dxa"/>
            <w:vAlign w:val="top"/>
          </w:tcPr>
          <w:p w14:paraId="292DDDD4">
            <w:pPr>
              <w:pStyle w:val="7"/>
            </w:pPr>
          </w:p>
        </w:tc>
        <w:tc>
          <w:tcPr>
            <w:tcW w:w="1093" w:type="dxa"/>
            <w:vAlign w:val="top"/>
          </w:tcPr>
          <w:p w14:paraId="259343E4">
            <w:pPr>
              <w:pStyle w:val="7"/>
            </w:pPr>
          </w:p>
        </w:tc>
        <w:tc>
          <w:tcPr>
            <w:tcW w:w="1661" w:type="dxa"/>
            <w:vAlign w:val="top"/>
          </w:tcPr>
          <w:p w14:paraId="25439E0A">
            <w:pPr>
              <w:pStyle w:val="7"/>
            </w:pPr>
          </w:p>
        </w:tc>
        <w:tc>
          <w:tcPr>
            <w:tcW w:w="2292" w:type="dxa"/>
            <w:vAlign w:val="top"/>
          </w:tcPr>
          <w:p w14:paraId="2EA9FC23">
            <w:pPr>
              <w:pStyle w:val="7"/>
            </w:pPr>
          </w:p>
        </w:tc>
        <w:tc>
          <w:tcPr>
            <w:tcW w:w="2140" w:type="dxa"/>
            <w:vAlign w:val="top"/>
          </w:tcPr>
          <w:p w14:paraId="65F172F8">
            <w:pPr>
              <w:pStyle w:val="7"/>
            </w:pPr>
          </w:p>
        </w:tc>
        <w:tc>
          <w:tcPr>
            <w:tcW w:w="921" w:type="dxa"/>
            <w:vAlign w:val="top"/>
          </w:tcPr>
          <w:p w14:paraId="5127C17B">
            <w:pPr>
              <w:pStyle w:val="7"/>
            </w:pPr>
          </w:p>
        </w:tc>
      </w:tr>
      <w:tr w14:paraId="4B1160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1006" w:type="dxa"/>
            <w:vAlign w:val="top"/>
          </w:tcPr>
          <w:p w14:paraId="0D06E48F">
            <w:pPr>
              <w:pStyle w:val="7"/>
            </w:pPr>
          </w:p>
        </w:tc>
        <w:tc>
          <w:tcPr>
            <w:tcW w:w="1275" w:type="dxa"/>
            <w:vAlign w:val="top"/>
          </w:tcPr>
          <w:p w14:paraId="1B79D670">
            <w:pPr>
              <w:pStyle w:val="7"/>
            </w:pPr>
          </w:p>
        </w:tc>
        <w:tc>
          <w:tcPr>
            <w:tcW w:w="2653" w:type="dxa"/>
            <w:vAlign w:val="top"/>
          </w:tcPr>
          <w:p w14:paraId="45C7917B">
            <w:pPr>
              <w:pStyle w:val="7"/>
            </w:pPr>
          </w:p>
        </w:tc>
        <w:tc>
          <w:tcPr>
            <w:tcW w:w="1672" w:type="dxa"/>
            <w:vAlign w:val="top"/>
          </w:tcPr>
          <w:p w14:paraId="0C40570C">
            <w:pPr>
              <w:pStyle w:val="7"/>
            </w:pPr>
          </w:p>
        </w:tc>
        <w:tc>
          <w:tcPr>
            <w:tcW w:w="1093" w:type="dxa"/>
            <w:vAlign w:val="top"/>
          </w:tcPr>
          <w:p w14:paraId="0E976FF0">
            <w:pPr>
              <w:pStyle w:val="7"/>
            </w:pPr>
          </w:p>
        </w:tc>
        <w:tc>
          <w:tcPr>
            <w:tcW w:w="1661" w:type="dxa"/>
            <w:vAlign w:val="top"/>
          </w:tcPr>
          <w:p w14:paraId="60250FAE">
            <w:pPr>
              <w:pStyle w:val="7"/>
            </w:pPr>
          </w:p>
        </w:tc>
        <w:tc>
          <w:tcPr>
            <w:tcW w:w="2292" w:type="dxa"/>
            <w:vAlign w:val="top"/>
          </w:tcPr>
          <w:p w14:paraId="6CB8268F">
            <w:pPr>
              <w:pStyle w:val="7"/>
            </w:pPr>
          </w:p>
        </w:tc>
        <w:tc>
          <w:tcPr>
            <w:tcW w:w="2140" w:type="dxa"/>
            <w:vAlign w:val="top"/>
          </w:tcPr>
          <w:p w14:paraId="1463AD68">
            <w:pPr>
              <w:pStyle w:val="7"/>
            </w:pPr>
          </w:p>
        </w:tc>
        <w:tc>
          <w:tcPr>
            <w:tcW w:w="921" w:type="dxa"/>
            <w:vAlign w:val="top"/>
          </w:tcPr>
          <w:p w14:paraId="512CB58C">
            <w:pPr>
              <w:pStyle w:val="7"/>
            </w:pPr>
          </w:p>
        </w:tc>
      </w:tr>
      <w:tr w14:paraId="6DA11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1006" w:type="dxa"/>
            <w:vAlign w:val="top"/>
          </w:tcPr>
          <w:p w14:paraId="0A734015">
            <w:pPr>
              <w:pStyle w:val="7"/>
            </w:pPr>
          </w:p>
        </w:tc>
        <w:tc>
          <w:tcPr>
            <w:tcW w:w="1275" w:type="dxa"/>
            <w:vAlign w:val="top"/>
          </w:tcPr>
          <w:p w14:paraId="36AF7EC5">
            <w:pPr>
              <w:pStyle w:val="7"/>
            </w:pPr>
          </w:p>
        </w:tc>
        <w:tc>
          <w:tcPr>
            <w:tcW w:w="2653" w:type="dxa"/>
            <w:vAlign w:val="top"/>
          </w:tcPr>
          <w:p w14:paraId="3451AB80">
            <w:pPr>
              <w:pStyle w:val="7"/>
            </w:pPr>
          </w:p>
        </w:tc>
        <w:tc>
          <w:tcPr>
            <w:tcW w:w="1672" w:type="dxa"/>
            <w:vAlign w:val="top"/>
          </w:tcPr>
          <w:p w14:paraId="6062E9C6">
            <w:pPr>
              <w:pStyle w:val="7"/>
            </w:pPr>
          </w:p>
        </w:tc>
        <w:tc>
          <w:tcPr>
            <w:tcW w:w="1093" w:type="dxa"/>
            <w:vAlign w:val="top"/>
          </w:tcPr>
          <w:p w14:paraId="16E4CFDB">
            <w:pPr>
              <w:pStyle w:val="7"/>
            </w:pPr>
          </w:p>
        </w:tc>
        <w:tc>
          <w:tcPr>
            <w:tcW w:w="1661" w:type="dxa"/>
            <w:vAlign w:val="top"/>
          </w:tcPr>
          <w:p w14:paraId="2255CF67">
            <w:pPr>
              <w:pStyle w:val="7"/>
            </w:pPr>
          </w:p>
        </w:tc>
        <w:tc>
          <w:tcPr>
            <w:tcW w:w="2292" w:type="dxa"/>
            <w:vAlign w:val="top"/>
          </w:tcPr>
          <w:p w14:paraId="5AF52583">
            <w:pPr>
              <w:pStyle w:val="7"/>
            </w:pPr>
          </w:p>
        </w:tc>
        <w:tc>
          <w:tcPr>
            <w:tcW w:w="2140" w:type="dxa"/>
            <w:vAlign w:val="top"/>
          </w:tcPr>
          <w:p w14:paraId="23729161">
            <w:pPr>
              <w:pStyle w:val="7"/>
            </w:pPr>
          </w:p>
        </w:tc>
        <w:tc>
          <w:tcPr>
            <w:tcW w:w="921" w:type="dxa"/>
            <w:vAlign w:val="top"/>
          </w:tcPr>
          <w:p w14:paraId="4ACBA88F">
            <w:pPr>
              <w:pStyle w:val="7"/>
            </w:pPr>
          </w:p>
        </w:tc>
      </w:tr>
      <w:tr w14:paraId="6A798B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1006" w:type="dxa"/>
            <w:vAlign w:val="top"/>
          </w:tcPr>
          <w:p w14:paraId="4E7324F3">
            <w:pPr>
              <w:pStyle w:val="7"/>
            </w:pPr>
          </w:p>
        </w:tc>
        <w:tc>
          <w:tcPr>
            <w:tcW w:w="1275" w:type="dxa"/>
            <w:vAlign w:val="top"/>
          </w:tcPr>
          <w:p w14:paraId="428CCC60">
            <w:pPr>
              <w:pStyle w:val="7"/>
            </w:pPr>
          </w:p>
        </w:tc>
        <w:tc>
          <w:tcPr>
            <w:tcW w:w="2653" w:type="dxa"/>
            <w:vAlign w:val="top"/>
          </w:tcPr>
          <w:p w14:paraId="56286441">
            <w:pPr>
              <w:pStyle w:val="7"/>
            </w:pPr>
          </w:p>
        </w:tc>
        <w:tc>
          <w:tcPr>
            <w:tcW w:w="1672" w:type="dxa"/>
            <w:vAlign w:val="top"/>
          </w:tcPr>
          <w:p w14:paraId="6E0A736A">
            <w:pPr>
              <w:pStyle w:val="7"/>
            </w:pPr>
          </w:p>
        </w:tc>
        <w:tc>
          <w:tcPr>
            <w:tcW w:w="1093" w:type="dxa"/>
            <w:vAlign w:val="top"/>
          </w:tcPr>
          <w:p w14:paraId="27927666">
            <w:pPr>
              <w:pStyle w:val="7"/>
            </w:pPr>
          </w:p>
        </w:tc>
        <w:tc>
          <w:tcPr>
            <w:tcW w:w="1661" w:type="dxa"/>
            <w:vAlign w:val="top"/>
          </w:tcPr>
          <w:p w14:paraId="46028510">
            <w:pPr>
              <w:pStyle w:val="7"/>
            </w:pPr>
          </w:p>
        </w:tc>
        <w:tc>
          <w:tcPr>
            <w:tcW w:w="2292" w:type="dxa"/>
            <w:vAlign w:val="top"/>
          </w:tcPr>
          <w:p w14:paraId="213D189B">
            <w:pPr>
              <w:pStyle w:val="7"/>
            </w:pPr>
          </w:p>
        </w:tc>
        <w:tc>
          <w:tcPr>
            <w:tcW w:w="2140" w:type="dxa"/>
            <w:vAlign w:val="top"/>
          </w:tcPr>
          <w:p w14:paraId="1F829E99">
            <w:pPr>
              <w:pStyle w:val="7"/>
            </w:pPr>
          </w:p>
        </w:tc>
        <w:tc>
          <w:tcPr>
            <w:tcW w:w="921" w:type="dxa"/>
            <w:vAlign w:val="top"/>
          </w:tcPr>
          <w:p w14:paraId="4A8E6E84">
            <w:pPr>
              <w:pStyle w:val="7"/>
            </w:pPr>
          </w:p>
        </w:tc>
      </w:tr>
      <w:tr w14:paraId="5EA50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006" w:type="dxa"/>
            <w:vAlign w:val="top"/>
          </w:tcPr>
          <w:p w14:paraId="148B1392">
            <w:pPr>
              <w:pStyle w:val="7"/>
            </w:pPr>
          </w:p>
        </w:tc>
        <w:tc>
          <w:tcPr>
            <w:tcW w:w="1275" w:type="dxa"/>
            <w:vAlign w:val="top"/>
          </w:tcPr>
          <w:p w14:paraId="37BEDCFA">
            <w:pPr>
              <w:pStyle w:val="7"/>
            </w:pPr>
          </w:p>
        </w:tc>
        <w:tc>
          <w:tcPr>
            <w:tcW w:w="2653" w:type="dxa"/>
            <w:vAlign w:val="top"/>
          </w:tcPr>
          <w:p w14:paraId="25C954B8">
            <w:pPr>
              <w:pStyle w:val="7"/>
            </w:pPr>
          </w:p>
        </w:tc>
        <w:tc>
          <w:tcPr>
            <w:tcW w:w="1672" w:type="dxa"/>
            <w:vAlign w:val="top"/>
          </w:tcPr>
          <w:p w14:paraId="75FC4BFC">
            <w:pPr>
              <w:pStyle w:val="7"/>
            </w:pPr>
          </w:p>
        </w:tc>
        <w:tc>
          <w:tcPr>
            <w:tcW w:w="1093" w:type="dxa"/>
            <w:vAlign w:val="top"/>
          </w:tcPr>
          <w:p w14:paraId="2E4386D1">
            <w:pPr>
              <w:pStyle w:val="7"/>
            </w:pPr>
          </w:p>
        </w:tc>
        <w:tc>
          <w:tcPr>
            <w:tcW w:w="1661" w:type="dxa"/>
            <w:vAlign w:val="top"/>
          </w:tcPr>
          <w:p w14:paraId="4016B0FC">
            <w:pPr>
              <w:pStyle w:val="7"/>
            </w:pPr>
          </w:p>
        </w:tc>
        <w:tc>
          <w:tcPr>
            <w:tcW w:w="2292" w:type="dxa"/>
            <w:vAlign w:val="top"/>
          </w:tcPr>
          <w:p w14:paraId="2314CFA3">
            <w:pPr>
              <w:pStyle w:val="7"/>
            </w:pPr>
          </w:p>
        </w:tc>
        <w:tc>
          <w:tcPr>
            <w:tcW w:w="2140" w:type="dxa"/>
            <w:vAlign w:val="top"/>
          </w:tcPr>
          <w:p w14:paraId="634A14B6">
            <w:pPr>
              <w:pStyle w:val="7"/>
            </w:pPr>
          </w:p>
        </w:tc>
        <w:tc>
          <w:tcPr>
            <w:tcW w:w="921" w:type="dxa"/>
            <w:vAlign w:val="top"/>
          </w:tcPr>
          <w:p w14:paraId="41E9B71C">
            <w:pPr>
              <w:pStyle w:val="7"/>
            </w:pPr>
          </w:p>
        </w:tc>
      </w:tr>
      <w:tr w14:paraId="3C5DD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006" w:type="dxa"/>
            <w:vAlign w:val="top"/>
          </w:tcPr>
          <w:p w14:paraId="11F18625">
            <w:pPr>
              <w:pStyle w:val="7"/>
            </w:pPr>
          </w:p>
        </w:tc>
        <w:tc>
          <w:tcPr>
            <w:tcW w:w="1275" w:type="dxa"/>
            <w:vAlign w:val="top"/>
          </w:tcPr>
          <w:p w14:paraId="34F1E17B">
            <w:pPr>
              <w:pStyle w:val="7"/>
            </w:pPr>
          </w:p>
        </w:tc>
        <w:tc>
          <w:tcPr>
            <w:tcW w:w="2653" w:type="dxa"/>
            <w:vAlign w:val="top"/>
          </w:tcPr>
          <w:p w14:paraId="696AFB2D">
            <w:pPr>
              <w:pStyle w:val="7"/>
            </w:pPr>
          </w:p>
        </w:tc>
        <w:tc>
          <w:tcPr>
            <w:tcW w:w="1672" w:type="dxa"/>
            <w:vAlign w:val="top"/>
          </w:tcPr>
          <w:p w14:paraId="576244AD">
            <w:pPr>
              <w:pStyle w:val="7"/>
            </w:pPr>
          </w:p>
        </w:tc>
        <w:tc>
          <w:tcPr>
            <w:tcW w:w="1093" w:type="dxa"/>
            <w:vAlign w:val="top"/>
          </w:tcPr>
          <w:p w14:paraId="10A05953">
            <w:pPr>
              <w:pStyle w:val="7"/>
            </w:pPr>
          </w:p>
        </w:tc>
        <w:tc>
          <w:tcPr>
            <w:tcW w:w="1661" w:type="dxa"/>
            <w:vAlign w:val="top"/>
          </w:tcPr>
          <w:p w14:paraId="57A19143">
            <w:pPr>
              <w:pStyle w:val="7"/>
            </w:pPr>
          </w:p>
        </w:tc>
        <w:tc>
          <w:tcPr>
            <w:tcW w:w="2292" w:type="dxa"/>
            <w:vAlign w:val="top"/>
          </w:tcPr>
          <w:p w14:paraId="741305BB">
            <w:pPr>
              <w:pStyle w:val="7"/>
            </w:pPr>
          </w:p>
        </w:tc>
        <w:tc>
          <w:tcPr>
            <w:tcW w:w="2140" w:type="dxa"/>
            <w:vAlign w:val="top"/>
          </w:tcPr>
          <w:p w14:paraId="4661C4A1">
            <w:pPr>
              <w:pStyle w:val="7"/>
            </w:pPr>
          </w:p>
        </w:tc>
        <w:tc>
          <w:tcPr>
            <w:tcW w:w="921" w:type="dxa"/>
            <w:vAlign w:val="top"/>
          </w:tcPr>
          <w:p w14:paraId="2D3F8AD0">
            <w:pPr>
              <w:pStyle w:val="7"/>
            </w:pPr>
          </w:p>
        </w:tc>
      </w:tr>
    </w:tbl>
    <w:p w14:paraId="5CC74674">
      <w:pPr>
        <w:spacing w:line="231" w:lineRule="auto"/>
        <w:sectPr>
          <w:pgSz w:w="16830" w:h="11900" w:orient="landscape"/>
          <w:pgMar w:top="1033" w:right="1430" w:bottom="1034" w:left="1071" w:header="0" w:footer="909" w:gutter="0"/>
          <w:cols w:space="720" w:num="1"/>
        </w:sectPr>
      </w:pPr>
    </w:p>
    <w:p w14:paraId="1281EA6D">
      <w:pPr>
        <w:rPr>
          <w:rFonts w:ascii="Arial"/>
          <w:sz w:val="21"/>
        </w:rPr>
      </w:pPr>
    </w:p>
    <w:sectPr>
      <w:headerReference r:id="rId6" w:type="default"/>
      <w:footerReference r:id="rId7" w:type="default"/>
      <w:pgSz w:w="11906" w:h="16839"/>
      <w:pgMar w:top="0" w:right="0" w:bottom="0" w:left="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Wingdings">
    <w:altName w:val="Kingsoft Confetti"/>
    <w:panose1 w:val="05000000000000000000"/>
    <w:charset w:val="02"/>
    <w:family w:val="auto"/>
    <w:pitch w:val="default"/>
    <w:sig w:usb0="00000000" w:usb1="00000000" w:usb2="00000000" w:usb3="00000000" w:csb0="80000000" w:csb1="00000000"/>
  </w:font>
  <w:font w:name="Kingsoft Confetti">
    <w:panose1 w:val="05000100010000000000"/>
    <w:charset w:val="00"/>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仿宋">
    <w:altName w:val="Times New Roman"/>
    <w:panose1 w:val="02010609060101010101"/>
    <w:charset w:val="86"/>
    <w:family w:val="auto"/>
    <w:pitch w:val="default"/>
    <w:sig w:usb0="00000000" w:usb1="00000000" w:usb2="00000016" w:usb3="00000000" w:csb0="00040001" w:csb1="00000000"/>
  </w:font>
  <w:font w:name="方正仿宋_GBK">
    <w:altName w:val="Times New Roman"/>
    <w:panose1 w:val="00000000000000000000"/>
    <w:charset w:val="00"/>
    <w:family w:val="auto"/>
    <w:pitch w:val="default"/>
    <w:sig w:usb0="00000000" w:usb1="00000000" w:usb2="00000000" w:usb3="00000000" w:csb0="00000000" w:csb1="00000000"/>
  </w:font>
  <w:font w:name="微软雅黑">
    <w:altName w:val="汉仪旗黑KW 55S"/>
    <w:panose1 w:val="020B0503020204020204"/>
    <w:charset w:val="86"/>
    <w:family w:val="auto"/>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 w:name="思源黑体 CN VF">
    <w:panose1 w:val="020B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C1F16">
    <w:pPr>
      <w:spacing w:line="176" w:lineRule="auto"/>
      <w:ind w:left="4817"/>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2A4F3">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C5545">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70A6922"/>
    <w:rsid w:val="09E443F1"/>
    <w:rsid w:val="0A5628F8"/>
    <w:rsid w:val="0AE62AC8"/>
    <w:rsid w:val="10CC560E"/>
    <w:rsid w:val="18504D21"/>
    <w:rsid w:val="19FC63B9"/>
    <w:rsid w:val="1ABD05C9"/>
    <w:rsid w:val="1DBE2F8F"/>
    <w:rsid w:val="21ED35E0"/>
    <w:rsid w:val="2539326B"/>
    <w:rsid w:val="282047C7"/>
    <w:rsid w:val="46AB5815"/>
    <w:rsid w:val="498E5C8A"/>
    <w:rsid w:val="499872CD"/>
    <w:rsid w:val="4B702A09"/>
    <w:rsid w:val="4E19532B"/>
    <w:rsid w:val="522E0F28"/>
    <w:rsid w:val="53590226"/>
    <w:rsid w:val="572673D9"/>
    <w:rsid w:val="58B2640F"/>
    <w:rsid w:val="5906675A"/>
    <w:rsid w:val="59554FEC"/>
    <w:rsid w:val="5EF1238B"/>
    <w:rsid w:val="68C071FF"/>
    <w:rsid w:val="6B881251"/>
    <w:rsid w:val="6F7F6C2E"/>
    <w:rsid w:val="706829E6"/>
    <w:rsid w:val="7A637111"/>
    <w:rsid w:val="7AE81B1D"/>
    <w:rsid w:val="7BD90F3C"/>
    <w:rsid w:val="7F4A4D43"/>
    <w:rsid w:val="C9D62FCB"/>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0"/>
      <w:szCs w:val="30"/>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1473</Words>
  <Characters>1574</Characters>
  <TotalTime>14</TotalTime>
  <ScaleCrop>false</ScaleCrop>
  <LinksUpToDate>false</LinksUpToDate>
  <CharactersWithSpaces>1668</CharactersWithSpaces>
  <Application>WPS Office WWO_wpscloud_20241220194352-2b83fcf251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2024-12-10T01:55:00Z</dcterms:created>
  <dc:creator>微软正版用户</dc:creator>
  <cp:lastModifiedBy>王倩</cp:lastModifiedBy>
  <dcterms:modified xsi:type="dcterms:W3CDTF">2024-12-27T11:48:29Z</dcterms:modified>
  <dc:title>关于新生专业调整的通知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2024-12-19T23:05:54Z</vt:filetime>
  </property>
  <property fmtid="{D5CDD505-2E9C-101B-9397-08002B2CF9AE}" pid="4" name="KSOProductBuildVer">
    <vt:lpwstr>2052-12.9.0.19779</vt:lpwstr>
  </property>
  <property fmtid="{D5CDD505-2E9C-101B-9397-08002B2CF9AE}" pid="5" name="ICV">
    <vt:lpwstr>D33E27E9764E7F1B8D236E67EE4BA46D_43</vt:lpwstr>
  </property>
  <property fmtid="{D5CDD505-2E9C-101B-9397-08002B2CF9AE}" pid="6" name="KSOTemplateDocerSaveRecord">
    <vt:lpwstr>eyJoZGlkIjoiMDM1NDczY2ViMTAyMzkxN2M2NGNmZjE0NTU5ZDc1M2EiLCJ1c2VySWQiOiI0MjYwNDEyMzIifQ==</vt:lpwstr>
  </property>
</Properties>
</file>